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4"/>
        <w:rPr>
          <w:color w:val="000000"/>
          <w:highlight w:val="none"/>
        </w:rPr>
      </w:pPr>
      <w:r>
        <w:rPr>
          <w:color w:val="000000"/>
          <w:highlight w:val="none"/>
        </w:rPr>
      </w:r>
      <w:r/>
    </w:p>
    <w:p>
      <w:pPr>
        <w:pStyle w:val="1140"/>
        <w:jc w:val="center"/>
        <w:spacing w:line="360" w:lineRule="auto"/>
        <w:rPr>
          <w:b/>
          <w:bCs/>
          <w:color w:val="000000"/>
          <w:sz w:val="72"/>
          <w:szCs w:val="72"/>
          <w:highlight w:val="none"/>
        </w:rPr>
      </w:pPr>
      <w:r>
        <w:rPr>
          <w:b/>
          <w:bCs/>
          <w:color w:val="000000"/>
          <w:sz w:val="72"/>
          <w:szCs w:val="72"/>
          <w:highlight w:val="none"/>
        </w:rPr>
      </w:r>
      <w:r/>
    </w:p>
    <w:p>
      <w:pPr>
        <w:pStyle w:val="1140"/>
        <w:jc w:val="center"/>
        <w:spacing w:after="156" w:line="480" w:lineRule="auto"/>
        <w:rPr>
          <w:b/>
          <w:bCs/>
          <w:color w:val="000000"/>
          <w:sz w:val="72"/>
          <w:szCs w:val="72"/>
          <w:highlight w:val="none"/>
        </w:rPr>
      </w:pPr>
      <w:r>
        <w:rPr>
          <w:b/>
          <w:bCs/>
          <w:color w:val="000000"/>
          <w:sz w:val="72"/>
          <w:szCs w:val="72"/>
          <w:highlight w:val="none"/>
        </w:rPr>
        <w:t xml:space="preserve">江苏大学附属医院</w:t>
      </w:r>
      <w:r>
        <w:rPr>
          <w:b/>
          <w:bCs/>
          <w:color w:val="000000"/>
          <w:sz w:val="72"/>
          <w:szCs w:val="72"/>
          <w:highlight w:val="none"/>
        </w:rPr>
      </w:r>
      <w:r/>
    </w:p>
    <w:p>
      <w:pPr>
        <w:pStyle w:val="1196"/>
        <w:ind w:firstLine="422"/>
        <w:rPr>
          <w:b/>
          <w:bCs/>
          <w:color w:val="000000"/>
          <w:highlight w:val="none"/>
        </w:rPr>
      </w:pPr>
      <w:r>
        <w:rPr>
          <w:b/>
          <w:bCs/>
          <w:color w:val="000000"/>
          <w:highlight w:val="none"/>
        </w:rPr>
      </w:r>
      <w:r/>
    </w:p>
    <w:p>
      <w:pPr>
        <w:pStyle w:val="1140"/>
        <w:jc w:val="center"/>
        <w:spacing w:after="156" w:line="480" w:lineRule="auto"/>
        <w:rPr>
          <w:rFonts w:hint="eastAsia"/>
          <w:color w:val="000000"/>
          <w:sz w:val="72"/>
          <w:szCs w:val="72"/>
          <w:highlight w:val="none"/>
        </w:rPr>
      </w:pPr>
      <w:r>
        <w:rPr>
          <w:rFonts w:hint="eastAsia"/>
          <w:b/>
          <w:bCs/>
          <w:color w:val="000000"/>
          <w:sz w:val="52"/>
          <w:szCs w:val="52"/>
          <w:highlight w:val="none"/>
        </w:rPr>
        <w:t xml:space="preserve">血液透析机</w:t>
      </w:r>
      <w:r>
        <w:rPr>
          <w:rFonts w:hint="eastAsia"/>
          <w:color w:val="000000"/>
          <w:sz w:val="72"/>
          <w:szCs w:val="72"/>
          <w:highlight w:val="none"/>
        </w:rPr>
      </w:r>
      <w:r/>
    </w:p>
    <w:p>
      <w:pPr>
        <w:pStyle w:val="1140"/>
        <w:jc w:val="center"/>
        <w:spacing w:after="156" w:line="480" w:lineRule="auto"/>
        <w:rPr>
          <w:color w:val="000000"/>
          <w:sz w:val="72"/>
          <w:szCs w:val="72"/>
          <w:highlight w:val="none"/>
        </w:rPr>
      </w:pPr>
      <w:r>
        <w:rPr>
          <w:color w:val="000000"/>
          <w:sz w:val="72"/>
          <w:szCs w:val="72"/>
          <w:highlight w:val="none"/>
        </w:rPr>
      </w:r>
      <w:r/>
    </w:p>
    <w:p>
      <w:pPr>
        <w:pStyle w:val="1140"/>
        <w:jc w:val="center"/>
        <w:spacing w:line="360" w:lineRule="auto"/>
        <w:rPr>
          <w:color w:val="000000"/>
          <w:sz w:val="72"/>
          <w:szCs w:val="72"/>
          <w:highlight w:val="none"/>
        </w:rPr>
      </w:pPr>
      <w:r>
        <w:rPr>
          <w:color w:val="000000"/>
          <w:sz w:val="72"/>
          <w:szCs w:val="72"/>
          <w:highlight w:val="none"/>
        </w:rPr>
      </w:r>
      <w:r/>
    </w:p>
    <w:p>
      <w:pPr>
        <w:pStyle w:val="1140"/>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1140"/>
        <w:jc w:val="center"/>
        <w:spacing w:line="360" w:lineRule="auto"/>
        <w:rPr>
          <w:rFonts w:hint="eastAsia"/>
          <w:b/>
          <w:bCs/>
          <w:color w:val="000000"/>
          <w:sz w:val="36"/>
          <w:szCs w:val="36"/>
          <w:highlight w:val="none"/>
        </w:rPr>
      </w:pPr>
      <w:r>
        <w:rPr>
          <w:b/>
          <w:bCs/>
          <w:color w:val="000000"/>
          <w:sz w:val="36"/>
          <w:szCs w:val="36"/>
          <w:highlight w:val="none"/>
        </w:rPr>
        <w:t xml:space="preserve">招标编号：</w:t>
      </w:r>
      <w:r>
        <w:rPr>
          <w:rFonts w:hint="eastAsia"/>
          <w:b/>
          <w:bCs/>
          <w:color w:val="000000"/>
          <w:sz w:val="36"/>
          <w:szCs w:val="36"/>
          <w:highlight w:val="none"/>
          <w:lang w:eastAsia="zh-CN"/>
        </w:rPr>
        <w:t xml:space="preserve">JSZC-320000-SMDY-G2026-0051</w:t>
      </w:r>
      <w:r>
        <w:rPr>
          <w:rFonts w:hint="eastAsia"/>
          <w:b/>
          <w:bCs/>
          <w:color w:val="000000"/>
          <w:sz w:val="36"/>
          <w:szCs w:val="36"/>
          <w:highlight w:val="none"/>
        </w:rPr>
        <w:t xml:space="preserve">（</w:t>
      </w:r>
      <w:r>
        <w:rPr>
          <w:rFonts w:hint="eastAsia"/>
          <w:b/>
          <w:bCs/>
          <w:color w:val="000000"/>
          <w:sz w:val="36"/>
          <w:szCs w:val="36"/>
          <w:highlight w:val="none"/>
          <w:lang w:eastAsia="zh-CN"/>
        </w:rPr>
        <w:t xml:space="preserve">2640SUMEC/XMGG4042</w:t>
      </w:r>
      <w:r>
        <w:rPr>
          <w:rFonts w:hint="eastAsia"/>
          <w:b/>
          <w:bCs/>
          <w:color w:val="000000"/>
          <w:sz w:val="36"/>
          <w:szCs w:val="36"/>
          <w:highlight w:val="none"/>
        </w:rPr>
        <w:t xml:space="preserve">）</w:t>
      </w:r>
      <w:r>
        <w:rPr>
          <w:rFonts w:hint="eastAsia"/>
          <w:b/>
          <w:bCs/>
          <w:color w:val="000000"/>
          <w:sz w:val="36"/>
          <w:szCs w:val="36"/>
          <w:highlight w:val="none"/>
        </w:rPr>
      </w:r>
      <w:r/>
    </w:p>
    <w:p>
      <w:pPr>
        <w:pStyle w:val="1140"/>
        <w:jc w:val="left"/>
        <w:spacing w:line="440" w:lineRule="exact"/>
        <w:rPr>
          <w:b/>
          <w:bCs/>
          <w:color w:val="000000"/>
          <w:sz w:val="72"/>
          <w:szCs w:val="72"/>
          <w:highlight w:val="none"/>
        </w:rPr>
      </w:pPr>
      <w:r>
        <w:rPr>
          <w:b/>
          <w:bCs/>
          <w:color w:val="000000"/>
          <w:sz w:val="72"/>
          <w:szCs w:val="72"/>
          <w:highlight w:val="none"/>
        </w:rPr>
      </w:r>
      <w:r/>
    </w:p>
    <w:p>
      <w:pPr>
        <w:pStyle w:val="1140"/>
        <w:jc w:val="left"/>
        <w:spacing w:line="440" w:lineRule="exact"/>
        <w:rPr>
          <w:b/>
          <w:bCs/>
          <w:color w:val="000000"/>
          <w:sz w:val="72"/>
          <w:szCs w:val="72"/>
          <w:highlight w:val="none"/>
        </w:rPr>
      </w:pPr>
      <w:r>
        <w:rPr>
          <w:b/>
          <w:bCs/>
          <w:color w:val="000000"/>
          <w:sz w:val="72"/>
          <w:szCs w:val="72"/>
          <w:highlight w:val="none"/>
        </w:rPr>
      </w:r>
      <w:r/>
    </w:p>
    <w:p>
      <w:pPr>
        <w:pStyle w:val="1140"/>
        <w:jc w:val="center"/>
        <w:spacing w:line="440" w:lineRule="exact"/>
        <w:rPr>
          <w:b/>
          <w:bCs/>
          <w:color w:val="000000"/>
          <w:sz w:val="72"/>
          <w:szCs w:val="72"/>
          <w:highlight w:val="none"/>
        </w:rPr>
      </w:pPr>
      <w:r>
        <w:rPr>
          <w:b/>
          <w:bCs/>
          <w:color w:val="000000"/>
          <w:sz w:val="72"/>
          <w:szCs w:val="72"/>
          <w:highlight w:val="none"/>
        </w:rPr>
      </w:r>
      <w:r/>
    </w:p>
    <w:p>
      <w:pPr>
        <w:pStyle w:val="1140"/>
        <w:spacing w:line="360" w:lineRule="auto"/>
        <w:rPr>
          <w:b/>
          <w:bCs/>
          <w:color w:val="000000"/>
          <w:sz w:val="72"/>
          <w:szCs w:val="72"/>
          <w:highlight w:val="none"/>
        </w:rPr>
      </w:pPr>
      <w:r>
        <w:rPr>
          <w:b/>
          <w:bCs/>
          <w:color w:val="000000"/>
          <w:sz w:val="72"/>
          <w:szCs w:val="72"/>
          <w:highlight w:val="none"/>
        </w:rPr>
      </w:r>
      <w:r/>
    </w:p>
    <w:p>
      <w:pPr>
        <w:pStyle w:val="1156"/>
        <w:rPr>
          <w:rFonts w:ascii="Times New Roman"/>
          <w:color w:val="000000"/>
          <w:highlight w:val="none"/>
        </w:rPr>
      </w:pPr>
      <w:r>
        <w:rPr>
          <w:rFonts w:ascii="Times New Roman"/>
          <w:color w:val="000000"/>
          <w:highlight w:val="none"/>
        </w:rPr>
      </w:r>
      <w:r/>
    </w:p>
    <w:p>
      <w:pPr>
        <w:pStyle w:val="1140"/>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1140"/>
        <w:jc w:val="center"/>
        <w:spacing w:line="360" w:lineRule="auto"/>
        <w:rPr>
          <w:b/>
          <w:color w:val="000000"/>
          <w:sz w:val="32"/>
          <w:szCs w:val="22"/>
          <w:highlight w:val="none"/>
        </w:rPr>
      </w:pPr>
      <w:r>
        <w:rPr>
          <w:b/>
          <w:bCs/>
          <w:color w:val="000000"/>
          <w:sz w:val="32"/>
          <w:szCs w:val="32"/>
          <w:highlight w:val="none"/>
        </w:rPr>
        <w:t xml:space="preserve">202</w:t>
      </w:r>
      <w:r>
        <w:rPr>
          <w:rFonts w:hint="eastAsia"/>
          <w:b/>
          <w:bCs/>
          <w:color w:val="000000"/>
          <w:sz w:val="32"/>
          <w:szCs w:val="32"/>
          <w:highlight w:val="none"/>
        </w:rPr>
        <w:t xml:space="preserve">6</w:t>
      </w:r>
      <w:r>
        <w:rPr>
          <w:b/>
          <w:bCs/>
          <w:color w:val="000000"/>
          <w:sz w:val="32"/>
          <w:szCs w:val="32"/>
          <w:highlight w:val="none"/>
        </w:rPr>
        <w:t xml:space="preserve">年</w:t>
      </w:r>
      <w:r>
        <w:rPr>
          <w:rFonts w:hint="eastAsia"/>
          <w:b/>
          <w:bCs/>
          <w:color w:val="000000"/>
          <w:sz w:val="32"/>
          <w:szCs w:val="32"/>
          <w:highlight w:val="none"/>
          <w:lang w:val="en-US" w:eastAsia="zh-CN"/>
        </w:rPr>
        <w:t xml:space="preserve">6</w:t>
      </w:r>
      <w:r>
        <w:rPr>
          <w:b/>
          <w:bCs/>
          <w:color w:val="000000"/>
          <w:sz w:val="32"/>
          <w:szCs w:val="32"/>
          <w:highlight w:val="none"/>
        </w:rPr>
        <w:t xml:space="preserve">月</w:t>
      </w:r>
      <w:r>
        <w:rPr>
          <w:b/>
          <w:color w:val="000000"/>
          <w:sz w:val="32"/>
          <w:szCs w:val="22"/>
          <w:highlight w:val="none"/>
        </w:rPr>
      </w:r>
      <w:r/>
    </w:p>
    <w:p>
      <w:pPr>
        <w:pStyle w:val="1140"/>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1140"/>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175"/>
        <w:tabs>
          <w:tab w:val="right" w:pos="9638" w:leader="dot"/>
        </w:tabs>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highlight w:val="none"/>
        </w:rPr>
        <w:instrText xml:space="preserve"> HYPERLINK \l _Toc27401 </w:instrText>
      </w:r>
      <w:r>
        <w:rPr>
          <w:bCs/>
          <w:highlight w:val="none"/>
        </w:rPr>
        <w:fldChar w:fldCharType="separate"/>
      </w:r>
      <w:r>
        <w:rPr>
          <w:szCs w:val="28"/>
        </w:rPr>
        <w:t xml:space="preserve">第一章 </w:t>
      </w:r>
      <w:r>
        <w:rPr>
          <w:szCs w:val="28"/>
          <w:highlight w:val="none"/>
        </w:rPr>
        <w:t xml:space="preserve">招标公告</w:t>
      </w:r>
      <w:r>
        <w:tab/>
      </w:r>
      <w:r>
        <w:fldChar w:fldCharType="begin"/>
      </w:r>
      <w:r>
        <w:instrText xml:space="preserve"> PAGEREF _Toc27401 \h </w:instrText>
      </w:r>
      <w:r>
        <w:fldChar w:fldCharType="separate"/>
      </w:r>
      <w:r>
        <w:t xml:space="preserve">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_Toc4194 </w:instrText>
      </w:r>
      <w:r>
        <w:rPr>
          <w:bCs/>
          <w:highlight w:val="none"/>
        </w:rPr>
        <w:fldChar w:fldCharType="separate"/>
      </w:r>
      <w:r>
        <w:rPr>
          <w:rFonts w:ascii="Times New Roman" w:hAnsi="Times New Roman" w:eastAsia="宋体"/>
          <w:szCs w:val="21"/>
          <w:highlight w:val="none"/>
        </w:rPr>
        <w:t xml:space="preserve">一、项目基本情况</w:t>
      </w:r>
      <w:r>
        <w:tab/>
      </w:r>
      <w:r>
        <w:fldChar w:fldCharType="begin"/>
      </w:r>
      <w:r>
        <w:instrText xml:space="preserve"> PAGEREF _Toc4194 \h </w:instrText>
      </w:r>
      <w:r>
        <w:fldChar w:fldCharType="separate"/>
      </w:r>
      <w:r>
        <w:t xml:space="preserve">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_Toc12215 </w:instrText>
      </w:r>
      <w:r>
        <w:rPr>
          <w:bCs/>
          <w:highlight w:val="none"/>
        </w:rPr>
        <w:fldChar w:fldCharType="separate"/>
      </w:r>
      <w:r>
        <w:rPr>
          <w:rFonts w:ascii="Times New Roman" w:hAnsi="Times New Roman" w:eastAsia="宋体"/>
          <w:szCs w:val="21"/>
          <w:highlight w:val="none"/>
        </w:rPr>
        <w:t xml:space="preserve">二、申请人的资格要求：</w:t>
      </w:r>
      <w:r>
        <w:tab/>
      </w:r>
      <w:r>
        <w:fldChar w:fldCharType="begin"/>
      </w:r>
      <w:r>
        <w:instrText xml:space="preserve"> PAGEREF _Toc12215 \h </w:instrText>
      </w:r>
      <w:r>
        <w:fldChar w:fldCharType="separate"/>
      </w:r>
      <w:r>
        <w:t xml:space="preserve">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_Toc29835 </w:instrText>
      </w:r>
      <w:r>
        <w:rPr>
          <w:bCs/>
          <w:highlight w:val="none"/>
        </w:rPr>
        <w:fldChar w:fldCharType="separate"/>
      </w:r>
      <w:r>
        <w:rPr>
          <w:rFonts w:ascii="Times New Roman" w:hAnsi="Times New Roman" w:eastAsia="宋体"/>
          <w:szCs w:val="21"/>
          <w:highlight w:val="none"/>
        </w:rPr>
        <w:t xml:space="preserve">三、获取招标文件</w:t>
      </w:r>
      <w:r>
        <w:tab/>
      </w:r>
      <w:r>
        <w:fldChar w:fldCharType="begin"/>
      </w:r>
      <w:r>
        <w:instrText xml:space="preserve"> PAGEREF _Toc29835 \h </w:instrText>
      </w:r>
      <w:r>
        <w:fldChar w:fldCharType="separate"/>
      </w:r>
      <w:r>
        <w:t xml:space="preserve">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_Toc2762 </w:instrText>
      </w:r>
      <w:r>
        <w:rPr>
          <w:bCs/>
          <w:highlight w:val="none"/>
        </w:rPr>
        <w:fldChar w:fldCharType="separate"/>
      </w:r>
      <w:r>
        <w:rPr>
          <w:rFonts w:ascii="Times New Roman" w:hAnsi="Times New Roman" w:eastAsia="宋体"/>
          <w:szCs w:val="21"/>
          <w:highlight w:val="none"/>
        </w:rPr>
        <w:t xml:space="preserve">四、提交投标文件截止时间、开标时间和地点</w:t>
      </w:r>
      <w:r>
        <w:tab/>
      </w:r>
      <w:r>
        <w:fldChar w:fldCharType="begin"/>
      </w:r>
      <w:r>
        <w:instrText xml:space="preserve"> PAGEREF _Toc2762 \h </w:instrText>
      </w:r>
      <w:r>
        <w:fldChar w:fldCharType="separate"/>
      </w:r>
      <w:r>
        <w:t xml:space="preserve">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_Toc29257 </w:instrText>
      </w:r>
      <w:r>
        <w:rPr>
          <w:bCs/>
          <w:highlight w:val="none"/>
        </w:rPr>
        <w:fldChar w:fldCharType="separate"/>
      </w:r>
      <w:r>
        <w:rPr>
          <w:rFonts w:ascii="Times New Roman" w:hAnsi="Times New Roman" w:eastAsia="宋体"/>
          <w:szCs w:val="21"/>
          <w:highlight w:val="none"/>
        </w:rPr>
        <w:t xml:space="preserve">五、公告期限</w:t>
      </w:r>
      <w:r>
        <w:tab/>
      </w:r>
      <w:r>
        <w:fldChar w:fldCharType="begin"/>
      </w:r>
      <w:r>
        <w:instrText xml:space="preserve"> PAGEREF _Toc29257 \h </w:instrText>
      </w:r>
      <w:r>
        <w:fldChar w:fldCharType="separate"/>
      </w:r>
      <w:r>
        <w:t xml:space="preserve">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_Toc29635 </w:instrText>
      </w:r>
      <w:r>
        <w:rPr>
          <w:bCs/>
          <w:highlight w:val="none"/>
        </w:rPr>
        <w:fldChar w:fldCharType="separate"/>
      </w:r>
      <w:r>
        <w:rPr>
          <w:rFonts w:ascii="Times New Roman" w:hAnsi="Times New Roman" w:eastAsia="宋体"/>
          <w:szCs w:val="21"/>
          <w:highlight w:val="none"/>
        </w:rPr>
        <w:t xml:space="preserve">六、其他补充事宜</w:t>
      </w:r>
      <w:r>
        <w:tab/>
      </w:r>
      <w:r>
        <w:fldChar w:fldCharType="begin"/>
      </w:r>
      <w:r>
        <w:instrText xml:space="preserve"> PAGEREF _Toc29635 \h </w:instrText>
      </w:r>
      <w:r>
        <w:fldChar w:fldCharType="separate"/>
      </w:r>
      <w:r>
        <w:t xml:space="preserve">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_Toc25442 </w:instrText>
      </w:r>
      <w:r>
        <w:rPr>
          <w:bCs/>
          <w:highlight w:val="none"/>
        </w:rPr>
        <w:fldChar w:fldCharType="separate"/>
      </w:r>
      <w:r>
        <w:rPr>
          <w:rFonts w:ascii="Times New Roman" w:hAnsi="Times New Roman" w:eastAsia="宋体"/>
          <w:szCs w:val="21"/>
          <w:highlight w:val="none"/>
        </w:rPr>
        <w:t xml:space="preserve">七、对本次招标提出询问，请按以下方式联系。</w:t>
      </w:r>
      <w:r>
        <w:tab/>
      </w:r>
      <w:r>
        <w:fldChar w:fldCharType="begin"/>
      </w:r>
      <w:r>
        <w:instrText xml:space="preserve"> PAGEREF _Toc25442 \h </w:instrText>
      </w:r>
      <w:r>
        <w:fldChar w:fldCharType="separate"/>
      </w:r>
      <w:r>
        <w:t xml:space="preserve">4</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_Toc9358 </w:instrText>
      </w:r>
      <w:r>
        <w:rPr>
          <w:bCs/>
          <w:highlight w:val="none"/>
        </w:rPr>
        <w:fldChar w:fldCharType="separate"/>
      </w:r>
      <w:r>
        <w:rPr>
          <w:szCs w:val="28"/>
          <w:highlight w:val="none"/>
        </w:rPr>
        <w:t xml:space="preserve">第二章 投标人须知</w:t>
      </w:r>
      <w:r>
        <w:tab/>
      </w:r>
      <w:r>
        <w:fldChar w:fldCharType="begin"/>
      </w:r>
      <w:r>
        <w:instrText xml:space="preserve"> PAGEREF _Toc9358 \h </w:instrText>
      </w:r>
      <w:r>
        <w:fldChar w:fldCharType="separate"/>
      </w:r>
      <w:r>
        <w:t xml:space="preserve">5</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_Toc11362 </w:instrText>
      </w:r>
      <w:r>
        <w:rPr>
          <w:bCs/>
          <w:highlight w:val="none"/>
        </w:rPr>
        <w:fldChar w:fldCharType="separate"/>
      </w:r>
      <w:r>
        <w:rPr>
          <w:bCs/>
          <w:highlight w:val="none"/>
        </w:rPr>
        <w:t xml:space="preserve">一、总 则</w:t>
      </w:r>
      <w:r>
        <w:tab/>
      </w:r>
      <w:r>
        <w:fldChar w:fldCharType="begin"/>
      </w:r>
      <w:r>
        <w:instrText xml:space="preserve"> PAGEREF _Toc11362 \h </w:instrText>
      </w:r>
      <w:r>
        <w:fldChar w:fldCharType="separate"/>
      </w:r>
      <w:r>
        <w:t xml:space="preserve">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_Toc142 </w:instrText>
      </w:r>
      <w:r>
        <w:rPr>
          <w:bCs/>
          <w:highlight w:val="none"/>
        </w:rPr>
        <w:fldChar w:fldCharType="separate"/>
      </w:r>
      <w:r>
        <w:rPr>
          <w:bCs/>
          <w:szCs w:val="21"/>
          <w:highlight w:val="none"/>
          <w:lang w:val="zh-CN"/>
        </w:rPr>
        <w:t xml:space="preserve">1.</w:t>
      </w:r>
      <w:r>
        <w:rPr>
          <w:szCs w:val="21"/>
          <w:highlight w:val="none"/>
          <w:lang w:val="zh-CN"/>
        </w:rPr>
        <w:t xml:space="preserve">适用法律</w:t>
      </w:r>
      <w:r>
        <w:tab/>
      </w:r>
      <w:r>
        <w:fldChar w:fldCharType="begin"/>
      </w:r>
      <w:r>
        <w:instrText xml:space="preserve"> PAGEREF _Toc142 \h </w:instrText>
      </w:r>
      <w:r>
        <w:fldChar w:fldCharType="separate"/>
      </w:r>
      <w:r>
        <w:t xml:space="preserve">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_Toc6144 </w:instrText>
      </w:r>
      <w:r>
        <w:rPr>
          <w:bCs/>
          <w:highlight w:val="none"/>
        </w:rPr>
        <w:fldChar w:fldCharType="separate"/>
      </w:r>
      <w:r>
        <w:rPr>
          <w:bCs/>
          <w:szCs w:val="21"/>
          <w:highlight w:val="none"/>
          <w:lang w:val="zh-CN"/>
        </w:rPr>
        <w:t xml:space="preserve">2.</w:t>
      </w:r>
      <w:r>
        <w:rPr>
          <w:szCs w:val="21"/>
          <w:highlight w:val="none"/>
          <w:lang w:val="zh-CN"/>
        </w:rPr>
        <w:t xml:space="preserve">定义</w:t>
      </w:r>
      <w:r>
        <w:tab/>
      </w:r>
      <w:r>
        <w:fldChar w:fldCharType="begin"/>
      </w:r>
      <w:r>
        <w:instrText xml:space="preserve"> PAGEREF _Toc6144 \h </w:instrText>
      </w:r>
      <w:r>
        <w:fldChar w:fldCharType="separate"/>
      </w:r>
      <w:r>
        <w:t xml:space="preserve">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_Toc20730 </w:instrText>
      </w:r>
      <w:r>
        <w:rPr>
          <w:bCs/>
          <w:highlight w:val="none"/>
        </w:rPr>
        <w:fldChar w:fldCharType="separate"/>
      </w:r>
      <w:r>
        <w:rPr>
          <w:highlight w:val="none"/>
        </w:rPr>
        <w:t xml:space="preserve">3.政策功能</w:t>
      </w:r>
      <w:r>
        <w:tab/>
      </w:r>
      <w:r>
        <w:fldChar w:fldCharType="begin"/>
      </w:r>
      <w:r>
        <w:instrText xml:space="preserve"> PAGEREF _Toc20730 \h </w:instrText>
      </w:r>
      <w:r>
        <w:fldChar w:fldCharType="separate"/>
      </w:r>
      <w:r>
        <w:t xml:space="preserve">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_Toc13963 </w:instrText>
      </w:r>
      <w:r>
        <w:rPr>
          <w:bCs/>
          <w:highlight w:val="none"/>
        </w:rPr>
        <w:fldChar w:fldCharType="separate"/>
      </w:r>
      <w:r>
        <w:rPr>
          <w:bCs/>
          <w:szCs w:val="21"/>
          <w:highlight w:val="none"/>
          <w:lang w:val="zh-CN"/>
        </w:rPr>
        <w:t xml:space="preserve">4.</w:t>
      </w:r>
      <w:r>
        <w:rPr>
          <w:szCs w:val="21"/>
          <w:highlight w:val="none"/>
          <w:lang w:val="zh-CN"/>
        </w:rPr>
        <w:t xml:space="preserve">投标费用</w:t>
      </w:r>
      <w:r>
        <w:tab/>
      </w:r>
      <w:r>
        <w:fldChar w:fldCharType="begin"/>
      </w:r>
      <w:r>
        <w:instrText xml:space="preserve"> PAGEREF _Toc13963 \h </w:instrText>
      </w:r>
      <w:r>
        <w:fldChar w:fldCharType="separate"/>
      </w:r>
      <w:r>
        <w:t xml:space="preserve">10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_Toc26894 </w:instrText>
      </w:r>
      <w:r>
        <w:rPr>
          <w:bCs/>
          <w:highlight w:val="none"/>
        </w:rPr>
        <w:fldChar w:fldCharType="separate"/>
      </w:r>
      <w:r>
        <w:rPr>
          <w:bCs/>
          <w:szCs w:val="21"/>
          <w:highlight w:val="none"/>
          <w:lang w:val="zh-CN"/>
        </w:rPr>
        <w:t xml:space="preserve">5.</w:t>
      </w:r>
      <w:r>
        <w:rPr>
          <w:szCs w:val="21"/>
          <w:highlight w:val="none"/>
          <w:lang w:val="zh-CN"/>
        </w:rPr>
        <w:t xml:space="preserve">招标文件的约束力</w:t>
      </w:r>
      <w:r>
        <w:tab/>
      </w:r>
      <w:r>
        <w:fldChar w:fldCharType="begin"/>
      </w:r>
      <w:r>
        <w:instrText xml:space="preserve"> PAGEREF _Toc26894 \h </w:instrText>
      </w:r>
      <w:r>
        <w:fldChar w:fldCharType="separate"/>
      </w:r>
      <w:r>
        <w:t xml:space="preserve">10</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_Toc10702 </w:instrText>
      </w:r>
      <w:r>
        <w:rPr>
          <w:bCs/>
          <w:highlight w:val="none"/>
        </w:rPr>
        <w:fldChar w:fldCharType="separate"/>
      </w:r>
      <w:r>
        <w:rPr>
          <w:bCs/>
          <w:highlight w:val="none"/>
        </w:rPr>
        <w:t xml:space="preserve">二、招标文件</w:t>
      </w:r>
      <w:r>
        <w:tab/>
      </w:r>
      <w:r>
        <w:fldChar w:fldCharType="begin"/>
      </w:r>
      <w:r>
        <w:instrText xml:space="preserve"> PAGEREF _Toc10702 \h </w:instrText>
      </w:r>
      <w:r>
        <w:fldChar w:fldCharType="separate"/>
      </w:r>
      <w:r>
        <w:t xml:space="preserve">10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_Toc6372 </w:instrText>
      </w:r>
      <w:r>
        <w:rPr>
          <w:bCs/>
          <w:highlight w:val="none"/>
        </w:rPr>
        <w:fldChar w:fldCharType="separate"/>
      </w:r>
      <w:r>
        <w:rPr>
          <w:bCs/>
          <w:szCs w:val="21"/>
          <w:highlight w:val="none"/>
          <w:lang w:val="zh-CN"/>
        </w:rPr>
        <w:t xml:space="preserve">6.</w:t>
      </w:r>
      <w:r>
        <w:rPr>
          <w:szCs w:val="21"/>
          <w:highlight w:val="none"/>
          <w:lang w:val="zh-CN"/>
        </w:rPr>
        <w:t xml:space="preserve">招标文件构成</w:t>
      </w:r>
      <w:r>
        <w:tab/>
      </w:r>
      <w:r>
        <w:fldChar w:fldCharType="begin"/>
      </w:r>
      <w:r>
        <w:instrText xml:space="preserve"> PAGEREF _Toc6372 \h </w:instrText>
      </w:r>
      <w:r>
        <w:fldChar w:fldCharType="separate"/>
      </w:r>
      <w:r>
        <w:t xml:space="preserve">10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_Toc18704 </w:instrText>
      </w:r>
      <w:r>
        <w:rPr>
          <w:bCs/>
          <w:highlight w:val="none"/>
        </w:rPr>
        <w:fldChar w:fldCharType="separate"/>
      </w:r>
      <w:r>
        <w:rPr>
          <w:rFonts w:ascii="Times New Roman" w:eastAsia="宋体"/>
          <w:bCs/>
          <w:szCs w:val="21"/>
          <w:highlight w:val="none"/>
        </w:rPr>
        <w:t xml:space="preserve">7.招标文件的澄清、补充或修改</w:t>
      </w:r>
      <w:r>
        <w:tab/>
      </w:r>
      <w:r>
        <w:fldChar w:fldCharType="begin"/>
      </w:r>
      <w:r>
        <w:instrText xml:space="preserve"> PAGEREF _Toc18704 \h </w:instrText>
      </w:r>
      <w:r>
        <w:fldChar w:fldCharType="separate"/>
      </w:r>
      <w:r>
        <w:t xml:space="preserve">10</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_Toc19439 </w:instrText>
      </w:r>
      <w:r>
        <w:rPr>
          <w:bCs/>
          <w:highlight w:val="none"/>
        </w:rPr>
        <w:fldChar w:fldCharType="separate"/>
      </w:r>
      <w:r>
        <w:rPr>
          <w:bCs/>
          <w:highlight w:val="none"/>
        </w:rPr>
        <w:t xml:space="preserve">三、投标文件的编制</w:t>
      </w:r>
      <w:r>
        <w:tab/>
      </w:r>
      <w:r>
        <w:fldChar w:fldCharType="begin"/>
      </w:r>
      <w:r>
        <w:instrText xml:space="preserve"> PAGEREF _Toc19439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_Toc9757 </w:instrText>
      </w:r>
      <w:r>
        <w:rPr>
          <w:bCs/>
          <w:highlight w:val="none"/>
        </w:rPr>
        <w:fldChar w:fldCharType="separate"/>
      </w:r>
      <w:r>
        <w:rPr>
          <w:rFonts w:ascii="Times New Roman" w:eastAsia="宋体"/>
          <w:bCs/>
          <w:szCs w:val="21"/>
          <w:highlight w:val="none"/>
        </w:rPr>
        <w:t xml:space="preserve">8.投标文件的语言、计量单位、货币</w:t>
      </w:r>
      <w:r>
        <w:tab/>
      </w:r>
      <w:r>
        <w:fldChar w:fldCharType="begin"/>
      </w:r>
      <w:r>
        <w:instrText xml:space="preserve"> PAGEREF _Toc9757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_Toc22633 </w:instrText>
      </w:r>
      <w:r>
        <w:rPr>
          <w:bCs/>
          <w:highlight w:val="none"/>
        </w:rPr>
        <w:fldChar w:fldCharType="separate"/>
      </w:r>
      <w:r>
        <w:rPr>
          <w:bCs/>
          <w:szCs w:val="21"/>
          <w:highlight w:val="none"/>
        </w:rPr>
        <w:t xml:space="preserve">9.</w:t>
      </w:r>
      <w:r>
        <w:rPr>
          <w:szCs w:val="21"/>
          <w:highlight w:val="none"/>
          <w:lang w:val="zh-CN"/>
        </w:rPr>
        <w:t xml:space="preserve">联合体（根据采购项目是否接受联合体投标而定）</w:t>
      </w:r>
      <w:r>
        <w:tab/>
      </w:r>
      <w:r>
        <w:fldChar w:fldCharType="begin"/>
      </w:r>
      <w:r>
        <w:instrText xml:space="preserve"> PAGEREF _Toc22633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_Toc882 </w:instrText>
      </w:r>
      <w:r>
        <w:rPr>
          <w:bCs/>
          <w:highlight w:val="none"/>
        </w:rPr>
        <w:fldChar w:fldCharType="separate"/>
      </w:r>
      <w:r>
        <w:rPr>
          <w:rFonts w:ascii="Times New Roman" w:eastAsia="宋体"/>
          <w:bCs/>
          <w:szCs w:val="21"/>
          <w:highlight w:val="none"/>
        </w:rPr>
        <w:t xml:space="preserve">10.投标文件的组成</w:t>
      </w:r>
      <w:r>
        <w:tab/>
      </w:r>
      <w:r>
        <w:fldChar w:fldCharType="begin"/>
      </w:r>
      <w:r>
        <w:instrText xml:space="preserve"> PAGEREF _Toc882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_Toc28479 </w:instrText>
      </w:r>
      <w:r>
        <w:rPr>
          <w:bCs/>
          <w:highlight w:val="none"/>
        </w:rPr>
        <w:fldChar w:fldCharType="separate"/>
      </w:r>
      <w:r>
        <w:rPr>
          <w:rFonts w:ascii="Times New Roman" w:eastAsia="宋体"/>
          <w:bCs/>
          <w:szCs w:val="21"/>
          <w:highlight w:val="none"/>
        </w:rPr>
        <w:t xml:space="preserve">11.投标保证金</w:t>
      </w:r>
      <w:r>
        <w:tab/>
      </w:r>
      <w:r>
        <w:fldChar w:fldCharType="begin"/>
      </w:r>
      <w:r>
        <w:instrText xml:space="preserve"> PAGEREF _Toc28479 \h </w:instrText>
      </w:r>
      <w:r>
        <w:fldChar w:fldCharType="separate"/>
      </w:r>
      <w:r>
        <w:t xml:space="preserve">12</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_Toc3340 </w:instrText>
      </w:r>
      <w:r>
        <w:rPr>
          <w:bCs/>
          <w:highlight w:val="none"/>
        </w:rPr>
        <w:fldChar w:fldCharType="separate"/>
      </w:r>
      <w:r>
        <w:rPr>
          <w:rFonts w:ascii="Times New Roman" w:eastAsia="宋体"/>
          <w:bCs/>
          <w:szCs w:val="21"/>
          <w:highlight w:val="none"/>
        </w:rPr>
        <w:t xml:space="preserve">12.投标文件的有效期</w:t>
      </w:r>
      <w:r>
        <w:tab/>
      </w:r>
      <w:r>
        <w:fldChar w:fldCharType="begin"/>
      </w:r>
      <w:r>
        <w:instrText xml:space="preserve"> PAGEREF _Toc3340 \h </w:instrText>
      </w:r>
      <w:r>
        <w:fldChar w:fldCharType="separate"/>
      </w:r>
      <w:r>
        <w:t xml:space="preserve">13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_Toc22585 </w:instrText>
      </w:r>
      <w:r>
        <w:rPr>
          <w:bCs/>
          <w:highlight w:val="none"/>
        </w:rPr>
        <w:fldChar w:fldCharType="separate"/>
      </w:r>
      <w:r>
        <w:rPr>
          <w:rFonts w:ascii="Times New Roman" w:eastAsia="宋体"/>
          <w:bCs/>
          <w:szCs w:val="21"/>
          <w:highlight w:val="none"/>
        </w:rPr>
        <w:t xml:space="preserve">13.投标文件的签署及其形式</w:t>
      </w:r>
      <w:r>
        <w:tab/>
      </w:r>
      <w:r>
        <w:fldChar w:fldCharType="begin"/>
      </w:r>
      <w:r>
        <w:instrText xml:space="preserve"> PAGEREF _Toc22585 \h </w:instrText>
      </w:r>
      <w:r>
        <w:fldChar w:fldCharType="separate"/>
      </w:r>
      <w:r>
        <w:t xml:space="preserve">13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_Toc28775 </w:instrText>
      </w:r>
      <w:r>
        <w:rPr>
          <w:bCs/>
          <w:highlight w:val="none"/>
        </w:rPr>
        <w:fldChar w:fldCharType="separate"/>
      </w:r>
      <w:r>
        <w:rPr>
          <w:bCs/>
          <w:highlight w:val="none"/>
        </w:rPr>
        <w:t xml:space="preserve">四、投标文件的递交</w:t>
      </w:r>
      <w:r>
        <w:tab/>
      </w:r>
      <w:r>
        <w:fldChar w:fldCharType="begin"/>
      </w:r>
      <w:r>
        <w:instrText xml:space="preserve"> PAGEREF _Toc28775 \h </w:instrText>
      </w:r>
      <w:r>
        <w:fldChar w:fldCharType="separate"/>
      </w:r>
      <w:r>
        <w:t xml:space="preserve">13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_Toc17515 </w:instrText>
      </w:r>
      <w:r>
        <w:rPr>
          <w:bCs/>
          <w:highlight w:val="none"/>
        </w:rPr>
        <w:fldChar w:fldCharType="separate"/>
      </w:r>
      <w:r>
        <w:rPr>
          <w:rFonts w:ascii="Times New Roman" w:eastAsia="宋体"/>
          <w:bCs/>
          <w:szCs w:val="21"/>
          <w:highlight w:val="none"/>
        </w:rPr>
        <w:t xml:space="preserve">14.投标文件的密封及标记</w:t>
      </w:r>
      <w:r>
        <w:tab/>
      </w:r>
      <w:r>
        <w:fldChar w:fldCharType="begin"/>
      </w:r>
      <w:r>
        <w:instrText xml:space="preserve"> PAGEREF _Toc17515 \h </w:instrText>
      </w:r>
      <w:r>
        <w:fldChar w:fldCharType="separate"/>
      </w:r>
      <w:r>
        <w:t xml:space="preserve">13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_Toc5547 </w:instrText>
      </w:r>
      <w:r>
        <w:rPr>
          <w:bCs/>
          <w:highlight w:val="none"/>
        </w:rPr>
        <w:fldChar w:fldCharType="separate"/>
      </w:r>
      <w:r>
        <w:rPr>
          <w:rFonts w:ascii="Times New Roman" w:eastAsia="宋体"/>
          <w:bCs/>
          <w:szCs w:val="21"/>
          <w:highlight w:val="none"/>
        </w:rPr>
        <w:t xml:space="preserve">15.投标的截止日期</w:t>
      </w:r>
      <w:r>
        <w:tab/>
      </w:r>
      <w:r>
        <w:fldChar w:fldCharType="begin"/>
      </w:r>
      <w:r>
        <w:instrText xml:space="preserve"> PAGEREF _Toc5547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_Toc4406 </w:instrText>
      </w:r>
      <w:r>
        <w:rPr>
          <w:bCs/>
          <w:highlight w:val="none"/>
        </w:rPr>
        <w:fldChar w:fldCharType="separate"/>
      </w:r>
      <w:r>
        <w:rPr>
          <w:rFonts w:ascii="Times New Roman" w:eastAsia="宋体"/>
          <w:bCs/>
          <w:szCs w:val="21"/>
          <w:highlight w:val="none"/>
        </w:rPr>
        <w:t xml:space="preserve">16.迟交的投标文件</w:t>
      </w:r>
      <w:r>
        <w:tab/>
      </w:r>
      <w:r>
        <w:fldChar w:fldCharType="begin"/>
      </w:r>
      <w:r>
        <w:instrText xml:space="preserve"> PAGEREF _Toc4406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_Toc2849 </w:instrText>
      </w:r>
      <w:r>
        <w:rPr>
          <w:bCs/>
          <w:highlight w:val="none"/>
        </w:rPr>
        <w:fldChar w:fldCharType="separate"/>
      </w:r>
      <w:r>
        <w:rPr>
          <w:rFonts w:ascii="Times New Roman" w:eastAsia="宋体"/>
          <w:bCs/>
          <w:szCs w:val="21"/>
          <w:highlight w:val="none"/>
        </w:rPr>
        <w:t xml:space="preserve">17.投标文件的修改或撤回</w:t>
      </w:r>
      <w:r>
        <w:tab/>
      </w:r>
      <w:r>
        <w:fldChar w:fldCharType="begin"/>
      </w:r>
      <w:r>
        <w:instrText xml:space="preserve"> PAGEREF _Toc2849 \h </w:instrText>
      </w:r>
      <w:r>
        <w:fldChar w:fldCharType="separate"/>
      </w:r>
      <w:r>
        <w:t xml:space="preserve">14</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_Toc26730 </w:instrText>
      </w:r>
      <w:r>
        <w:rPr>
          <w:bCs/>
          <w:highlight w:val="none"/>
        </w:rPr>
        <w:fldChar w:fldCharType="separate"/>
      </w:r>
      <w:r>
        <w:rPr>
          <w:bCs/>
          <w:highlight w:val="none"/>
        </w:rPr>
        <w:t xml:space="preserve">五、开标与评标</w:t>
      </w:r>
      <w:r>
        <w:tab/>
      </w:r>
      <w:r>
        <w:fldChar w:fldCharType="begin"/>
      </w:r>
      <w:r>
        <w:instrText xml:space="preserve"> PAGEREF _Toc26730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_Toc32096 </w:instrText>
      </w:r>
      <w:r>
        <w:rPr>
          <w:bCs/>
          <w:highlight w:val="none"/>
        </w:rPr>
        <w:fldChar w:fldCharType="separate"/>
      </w:r>
      <w:r>
        <w:rPr>
          <w:rFonts w:ascii="Times New Roman" w:eastAsia="宋体"/>
          <w:bCs/>
          <w:szCs w:val="21"/>
          <w:highlight w:val="none"/>
        </w:rPr>
        <w:t xml:space="preserve">18.开标</w:t>
      </w:r>
      <w:r>
        <w:tab/>
      </w:r>
      <w:r>
        <w:fldChar w:fldCharType="begin"/>
      </w:r>
      <w:r>
        <w:instrText xml:space="preserve"> PAGEREF _Toc32096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_Toc20030 </w:instrText>
      </w:r>
      <w:r>
        <w:rPr>
          <w:bCs/>
          <w:highlight w:val="none"/>
        </w:rPr>
        <w:fldChar w:fldCharType="separate"/>
      </w:r>
      <w:r>
        <w:rPr>
          <w:rFonts w:ascii="Times New Roman" w:eastAsia="宋体"/>
          <w:bCs/>
          <w:szCs w:val="21"/>
          <w:highlight w:val="none"/>
        </w:rPr>
        <w:t xml:space="preserve">19.评标组织</w:t>
      </w:r>
      <w:r>
        <w:tab/>
      </w:r>
      <w:r>
        <w:fldChar w:fldCharType="begin"/>
      </w:r>
      <w:r>
        <w:instrText xml:space="preserve"> PAGEREF _Toc20030 \h </w:instrText>
      </w:r>
      <w:r>
        <w:fldChar w:fldCharType="separate"/>
      </w:r>
      <w:r>
        <w:t xml:space="preserve">15</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_Toc10707 </w:instrText>
      </w:r>
      <w:r>
        <w:rPr>
          <w:bCs/>
          <w:highlight w:val="none"/>
        </w:rPr>
        <w:fldChar w:fldCharType="separate"/>
      </w:r>
      <w:r>
        <w:rPr>
          <w:rFonts w:ascii="Times New Roman" w:eastAsia="宋体"/>
          <w:bCs/>
          <w:szCs w:val="21"/>
          <w:highlight w:val="none"/>
        </w:rPr>
        <w:t xml:space="preserve">20.对投标文件的资格性审查和符合性审查</w:t>
      </w:r>
      <w:r>
        <w:tab/>
      </w:r>
      <w:r>
        <w:fldChar w:fldCharType="begin"/>
      </w:r>
      <w:r>
        <w:instrText xml:space="preserve"> PAGEREF _Toc10707 \h </w:instrText>
      </w:r>
      <w:r>
        <w:fldChar w:fldCharType="separate"/>
      </w:r>
      <w:r>
        <w:t xml:space="preserve">15</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_Toc29752 </w:instrText>
      </w:r>
      <w:r>
        <w:rPr>
          <w:bCs/>
          <w:highlight w:val="none"/>
        </w:rPr>
        <w:fldChar w:fldCharType="separate"/>
      </w:r>
      <w:r>
        <w:rPr>
          <w:rFonts w:ascii="Times New Roman" w:eastAsia="宋体"/>
          <w:bCs/>
          <w:szCs w:val="21"/>
          <w:highlight w:val="none"/>
        </w:rPr>
        <w:t xml:space="preserve">21.投标文件的澄清</w:t>
      </w:r>
      <w:r>
        <w:tab/>
      </w:r>
      <w:r>
        <w:fldChar w:fldCharType="begin"/>
      </w:r>
      <w:r>
        <w:instrText xml:space="preserve"> PAGEREF _Toc29752 \h </w:instrText>
      </w:r>
      <w:r>
        <w:fldChar w:fldCharType="separate"/>
      </w:r>
      <w:r>
        <w:t xml:space="preserve">17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_Toc26250 </w:instrText>
      </w:r>
      <w:r>
        <w:rPr>
          <w:bCs/>
          <w:highlight w:val="none"/>
        </w:rPr>
        <w:fldChar w:fldCharType="separate"/>
      </w:r>
      <w:r>
        <w:rPr>
          <w:rFonts w:ascii="Times New Roman" w:eastAsia="宋体"/>
          <w:bCs/>
          <w:szCs w:val="21"/>
          <w:highlight w:val="none"/>
        </w:rPr>
        <w:t xml:space="preserve">22.对投标文件的详细评审</w:t>
      </w:r>
      <w:r>
        <w:tab/>
      </w:r>
      <w:r>
        <w:fldChar w:fldCharType="begin"/>
      </w:r>
      <w:r>
        <w:instrText xml:space="preserve"> PAGEREF _Toc26250 \h </w:instrText>
      </w:r>
      <w:r>
        <w:fldChar w:fldCharType="separate"/>
      </w:r>
      <w:r>
        <w:t xml:space="preserve">17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_Toc8260 </w:instrText>
      </w:r>
      <w:r>
        <w:rPr>
          <w:bCs/>
          <w:highlight w:val="none"/>
        </w:rPr>
        <w:fldChar w:fldCharType="separate"/>
      </w:r>
      <w:r>
        <w:rPr>
          <w:rFonts w:ascii="Times New Roman" w:eastAsia="宋体"/>
          <w:bCs/>
          <w:szCs w:val="21"/>
          <w:highlight w:val="none"/>
        </w:rPr>
        <w:t xml:space="preserve">23.评标过程的保密与公正</w:t>
      </w:r>
      <w:r>
        <w:tab/>
      </w:r>
      <w:r>
        <w:fldChar w:fldCharType="begin"/>
      </w:r>
      <w:r>
        <w:instrText xml:space="preserve"> PAGEREF _Toc8260 \h </w:instrText>
      </w:r>
      <w:r>
        <w:fldChar w:fldCharType="separate"/>
      </w:r>
      <w:r>
        <w:t xml:space="preserve">18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_Toc29042 </w:instrText>
      </w:r>
      <w:r>
        <w:rPr>
          <w:bCs/>
          <w:highlight w:val="none"/>
        </w:rPr>
        <w:fldChar w:fldCharType="separate"/>
      </w:r>
      <w:r>
        <w:rPr>
          <w:rFonts w:ascii="Times New Roman" w:eastAsia="宋体"/>
          <w:bCs/>
          <w:szCs w:val="21"/>
          <w:highlight w:val="none"/>
        </w:rPr>
        <w:t xml:space="preserve">24.无效投标条款和废标条款</w:t>
      </w:r>
      <w:r>
        <w:tab/>
      </w:r>
      <w:r>
        <w:fldChar w:fldCharType="begin"/>
      </w:r>
      <w:r>
        <w:instrText xml:space="preserve"> PAGEREF _Toc29042 \h </w:instrText>
      </w:r>
      <w:r>
        <w:fldChar w:fldCharType="separate"/>
      </w:r>
      <w:r>
        <w:t xml:space="preserve">18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_Toc12678 </w:instrText>
      </w:r>
      <w:r>
        <w:rPr>
          <w:bCs/>
          <w:highlight w:val="none"/>
        </w:rPr>
        <w:fldChar w:fldCharType="separate"/>
      </w:r>
      <w:r>
        <w:rPr>
          <w:rFonts w:ascii="Times New Roman" w:eastAsia="宋体"/>
          <w:bCs/>
          <w:szCs w:val="21"/>
          <w:highlight w:val="none"/>
        </w:rPr>
        <w:t xml:space="preserve">25.投标截止时间结束参加投标的供应商不足三家的处理</w:t>
      </w:r>
      <w:r>
        <w:tab/>
      </w:r>
      <w:r>
        <w:fldChar w:fldCharType="begin"/>
      </w:r>
      <w:r>
        <w:instrText xml:space="preserve"> PAGEREF _Toc12678 \h </w:instrText>
      </w:r>
      <w:r>
        <w:fldChar w:fldCharType="separate"/>
      </w:r>
      <w:r>
        <w:t xml:space="preserve">19</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_Toc2661 </w:instrText>
      </w:r>
      <w:r>
        <w:rPr>
          <w:bCs/>
          <w:highlight w:val="none"/>
        </w:rPr>
        <w:fldChar w:fldCharType="separate"/>
      </w:r>
      <w:r>
        <w:rPr>
          <w:bCs/>
          <w:highlight w:val="none"/>
        </w:rPr>
        <w:t xml:space="preserve">六、授标</w:t>
      </w:r>
      <w:r>
        <w:tab/>
      </w:r>
      <w:r>
        <w:fldChar w:fldCharType="begin"/>
      </w:r>
      <w:r>
        <w:instrText xml:space="preserve"> PAGEREF _Toc2661 \h </w:instrText>
      </w:r>
      <w:r>
        <w:fldChar w:fldCharType="separate"/>
      </w:r>
      <w:r>
        <w:t xml:space="preserve">19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_Toc22694 </w:instrText>
      </w:r>
      <w:r>
        <w:rPr>
          <w:bCs/>
          <w:highlight w:val="none"/>
        </w:rPr>
        <w:fldChar w:fldCharType="separate"/>
      </w:r>
      <w:r>
        <w:rPr>
          <w:rFonts w:ascii="Times New Roman" w:eastAsia="宋体"/>
          <w:bCs/>
          <w:szCs w:val="21"/>
          <w:highlight w:val="none"/>
        </w:rPr>
        <w:t xml:space="preserve">26.确定中标供应商</w:t>
      </w:r>
      <w:r>
        <w:tab/>
      </w:r>
      <w:r>
        <w:fldChar w:fldCharType="begin"/>
      </w:r>
      <w:r>
        <w:instrText xml:space="preserve"> PAGEREF _Toc22694 \h </w:instrText>
      </w:r>
      <w:r>
        <w:fldChar w:fldCharType="separate"/>
      </w:r>
      <w:r>
        <w:t xml:space="preserve">19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_Toc14009 </w:instrText>
      </w:r>
      <w:r>
        <w:rPr>
          <w:bCs/>
          <w:highlight w:val="none"/>
        </w:rPr>
        <w:fldChar w:fldCharType="separate"/>
      </w:r>
      <w:r>
        <w:rPr>
          <w:rFonts w:ascii="Times New Roman" w:eastAsia="宋体"/>
          <w:bCs/>
          <w:szCs w:val="21"/>
          <w:highlight w:val="none"/>
        </w:rPr>
        <w:t xml:space="preserve">27.中标的通知</w:t>
      </w:r>
      <w:r>
        <w:tab/>
      </w:r>
      <w:r>
        <w:fldChar w:fldCharType="begin"/>
      </w:r>
      <w:r>
        <w:instrText xml:space="preserve"> PAGEREF _Toc14009 \h </w:instrText>
      </w:r>
      <w:r>
        <w:fldChar w:fldCharType="separate"/>
      </w:r>
      <w:r>
        <w:t xml:space="preserve">19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_Toc1968 </w:instrText>
      </w:r>
      <w:r>
        <w:rPr>
          <w:bCs/>
          <w:highlight w:val="none"/>
        </w:rPr>
        <w:fldChar w:fldCharType="separate"/>
      </w:r>
      <w:r>
        <w:rPr>
          <w:rFonts w:ascii="Times New Roman" w:eastAsia="宋体"/>
          <w:bCs/>
          <w:szCs w:val="21"/>
          <w:highlight w:val="none"/>
        </w:rPr>
        <w:t xml:space="preserve">28.签订合同</w:t>
      </w:r>
      <w:r>
        <w:tab/>
      </w:r>
      <w:r>
        <w:fldChar w:fldCharType="begin"/>
      </w:r>
      <w:r>
        <w:instrText xml:space="preserve"> PAGEREF _Toc1968 \h </w:instrText>
      </w:r>
      <w:r>
        <w:fldChar w:fldCharType="separate"/>
      </w:r>
      <w:r>
        <w:t xml:space="preserve">20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_Toc16942 </w:instrText>
      </w:r>
      <w:r>
        <w:rPr>
          <w:bCs/>
          <w:highlight w:val="none"/>
        </w:rPr>
        <w:fldChar w:fldCharType="separate"/>
      </w:r>
      <w:r>
        <w:rPr>
          <w:rFonts w:ascii="Times New Roman" w:eastAsia="宋体"/>
          <w:bCs/>
          <w:szCs w:val="21"/>
          <w:highlight w:val="none"/>
        </w:rPr>
        <w:t xml:space="preserve">29.招标代理服务费</w:t>
      </w:r>
      <w:r>
        <w:tab/>
      </w:r>
      <w:r>
        <w:fldChar w:fldCharType="begin"/>
      </w:r>
      <w:r>
        <w:instrText xml:space="preserve"> PAGEREF _Toc16942 \h </w:instrText>
      </w:r>
      <w:r>
        <w:fldChar w:fldCharType="separate"/>
      </w:r>
      <w:r>
        <w:t xml:space="preserve">20</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_Toc32186 </w:instrText>
      </w:r>
      <w:r>
        <w:rPr>
          <w:bCs/>
          <w:highlight w:val="none"/>
        </w:rPr>
        <w:fldChar w:fldCharType="separate"/>
      </w:r>
      <w:r>
        <w:rPr>
          <w:bCs/>
          <w:highlight w:val="none"/>
        </w:rPr>
        <w:t xml:space="preserve">七、质疑</w:t>
      </w:r>
      <w:r>
        <w:tab/>
      </w:r>
      <w:r>
        <w:fldChar w:fldCharType="begin"/>
      </w:r>
      <w:r>
        <w:instrText xml:space="preserve"> PAGEREF _Toc32186 \h </w:instrText>
      </w:r>
      <w:r>
        <w:fldChar w:fldCharType="separate"/>
      </w:r>
      <w:r>
        <w:t xml:space="preserve">20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_Toc28783 </w:instrText>
      </w:r>
      <w:r>
        <w:rPr>
          <w:bCs/>
          <w:highlight w:val="none"/>
        </w:rPr>
        <w:fldChar w:fldCharType="separate"/>
      </w:r>
      <w:r>
        <w:rPr>
          <w:rFonts w:ascii="Times New Roman" w:eastAsia="宋体"/>
          <w:bCs/>
          <w:szCs w:val="21"/>
          <w:highlight w:val="none"/>
        </w:rPr>
        <w:t xml:space="preserve">30、质疑</w:t>
      </w:r>
      <w:r>
        <w:tab/>
      </w:r>
      <w:r>
        <w:fldChar w:fldCharType="begin"/>
      </w:r>
      <w:r>
        <w:instrText xml:space="preserve"> PAGEREF _Toc28783 \h </w:instrText>
      </w:r>
      <w:r>
        <w:fldChar w:fldCharType="separate"/>
      </w:r>
      <w:r>
        <w:t xml:space="preserve">20</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_Toc13551 </w:instrText>
      </w:r>
      <w:r>
        <w:rPr>
          <w:bCs/>
          <w:highlight w:val="none"/>
        </w:rPr>
        <w:fldChar w:fldCharType="separate"/>
      </w:r>
      <w:r>
        <w:rPr>
          <w:szCs w:val="28"/>
          <w:highlight w:val="none"/>
        </w:rPr>
        <w:t xml:space="preserve">第三章 评标标准</w:t>
      </w:r>
      <w:r>
        <w:tab/>
      </w:r>
      <w:r>
        <w:fldChar w:fldCharType="begin"/>
      </w:r>
      <w:r>
        <w:instrText xml:space="preserve"> PAGEREF _Toc13551 \h </w:instrText>
      </w:r>
      <w:r>
        <w:fldChar w:fldCharType="separate"/>
      </w:r>
      <w:r>
        <w:t xml:space="preserve">22</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_Toc11143 </w:instrText>
      </w:r>
      <w:r>
        <w:rPr>
          <w:bCs/>
          <w:highlight w:val="none"/>
        </w:rPr>
        <w:fldChar w:fldCharType="separate"/>
      </w:r>
      <w:r>
        <w:rPr>
          <w:szCs w:val="28"/>
          <w:highlight w:val="none"/>
        </w:rPr>
        <w:t xml:space="preserve">第四章 招标技术规格及要求</w:t>
      </w:r>
      <w:r>
        <w:tab/>
      </w:r>
      <w:r>
        <w:fldChar w:fldCharType="begin"/>
      </w:r>
      <w:r>
        <w:instrText xml:space="preserve"> PAGEREF _Toc11143 \h </w:instrText>
      </w:r>
      <w:r>
        <w:fldChar w:fldCharType="separate"/>
      </w:r>
      <w:r>
        <w:t xml:space="preserve">25</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_Toc28074 </w:instrText>
      </w:r>
      <w:r>
        <w:rPr>
          <w:bCs/>
          <w:highlight w:val="none"/>
        </w:rPr>
        <w:fldChar w:fldCharType="separate"/>
      </w:r>
      <w:r>
        <w:rPr>
          <w:szCs w:val="28"/>
          <w:highlight w:val="none"/>
        </w:rPr>
        <w:t xml:space="preserve">第五章 拟签订的合同文本</w:t>
      </w:r>
      <w:r>
        <w:tab/>
      </w:r>
      <w:r>
        <w:fldChar w:fldCharType="begin"/>
      </w:r>
      <w:r>
        <w:instrText xml:space="preserve"> PAGEREF _Toc28074 \h </w:instrText>
      </w:r>
      <w:r>
        <w:fldChar w:fldCharType="separate"/>
      </w:r>
      <w:r>
        <w:t xml:space="preserve">28</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_Toc7916 </w:instrText>
      </w:r>
      <w:r>
        <w:rPr>
          <w:bCs/>
          <w:highlight w:val="none"/>
        </w:rPr>
        <w:fldChar w:fldCharType="separate"/>
      </w:r>
      <w:r>
        <w:rPr>
          <w:szCs w:val="28"/>
          <w:highlight w:val="none"/>
        </w:rPr>
        <w:t xml:space="preserve">第六章 投标文件格式及附件</w:t>
      </w:r>
      <w:r>
        <w:tab/>
      </w:r>
      <w:r>
        <w:fldChar w:fldCharType="begin"/>
      </w:r>
      <w:r>
        <w:instrText xml:space="preserve"> PAGEREF _Toc7916 \h </w:instrText>
      </w:r>
      <w:r>
        <w:fldChar w:fldCharType="separate"/>
      </w:r>
      <w:r>
        <w:t xml:space="preserve">31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_Toc10192 </w:instrText>
      </w:r>
      <w:r>
        <w:rPr>
          <w:bCs/>
          <w:highlight w:val="none"/>
        </w:rPr>
        <w:fldChar w:fldCharType="separate"/>
      </w:r>
      <w:r>
        <w:rPr>
          <w:rFonts w:ascii="Times New Roman" w:hAnsi="Times New Roman" w:eastAsia="宋体"/>
          <w:szCs w:val="24"/>
          <w:highlight w:val="none"/>
        </w:rPr>
        <w:t xml:space="preserve">资格审查索引表</w:t>
      </w:r>
      <w:r>
        <w:tab/>
      </w:r>
      <w:r>
        <w:fldChar w:fldCharType="begin"/>
      </w:r>
      <w:r>
        <w:instrText xml:space="preserve"> PAGEREF _Toc10192 \h </w:instrText>
      </w:r>
      <w:r>
        <w:fldChar w:fldCharType="separate"/>
      </w:r>
      <w:r>
        <w:t xml:space="preserve">32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_Toc27676 </w:instrText>
      </w:r>
      <w:r>
        <w:rPr>
          <w:bCs/>
          <w:highlight w:val="none"/>
        </w:rPr>
        <w:fldChar w:fldCharType="separate"/>
      </w:r>
      <w:r>
        <w:rPr>
          <w:rFonts w:ascii="Times New Roman" w:hAnsi="Times New Roman" w:eastAsia="宋体"/>
          <w:szCs w:val="24"/>
          <w:highlight w:val="none"/>
        </w:rPr>
        <w:t xml:space="preserve">评审索引表</w:t>
      </w:r>
      <w:r>
        <w:tab/>
      </w:r>
      <w:r>
        <w:fldChar w:fldCharType="begin"/>
      </w:r>
      <w:r>
        <w:instrText xml:space="preserve"> PAGEREF _Toc27676 \h </w:instrText>
      </w:r>
      <w:r>
        <w:fldChar w:fldCharType="separate"/>
      </w:r>
      <w:r>
        <w:t xml:space="preserve">33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_Toc9091 </w:instrText>
      </w:r>
      <w:r>
        <w:rPr>
          <w:bCs/>
          <w:highlight w:val="none"/>
        </w:rPr>
        <w:fldChar w:fldCharType="separate"/>
      </w:r>
      <w:r>
        <w:rPr>
          <w:bCs/>
          <w:highlight w:val="none"/>
        </w:rPr>
        <w:t xml:space="preserve">附件一 投标函格式</w:t>
      </w:r>
      <w:r>
        <w:tab/>
      </w:r>
      <w:r>
        <w:fldChar w:fldCharType="begin"/>
      </w:r>
      <w:r>
        <w:instrText xml:space="preserve"> PAGEREF _Toc9091 \h </w:instrText>
      </w:r>
      <w:r>
        <w:fldChar w:fldCharType="separate"/>
      </w:r>
      <w:r>
        <w:t xml:space="preserve">34</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_Toc19674 </w:instrText>
      </w:r>
      <w:r>
        <w:rPr>
          <w:bCs/>
          <w:highlight w:val="none"/>
        </w:rPr>
        <w:fldChar w:fldCharType="separate"/>
      </w:r>
      <w:r>
        <w:rPr>
          <w:bCs/>
          <w:szCs w:val="22"/>
          <w:highlight w:val="none"/>
        </w:rPr>
        <w:t xml:space="preserve">附件二 开标一览表</w:t>
      </w:r>
      <w:r>
        <w:tab/>
      </w:r>
      <w:r>
        <w:fldChar w:fldCharType="begin"/>
      </w:r>
      <w:r>
        <w:instrText xml:space="preserve"> PAGEREF _Toc19674 \h </w:instrText>
      </w:r>
      <w:r>
        <w:fldChar w:fldCharType="separate"/>
      </w:r>
      <w:r>
        <w:t xml:space="preserve">35</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_Toc3300 </w:instrText>
      </w:r>
      <w:r>
        <w:rPr>
          <w:bCs/>
          <w:highlight w:val="none"/>
        </w:rPr>
        <w:fldChar w:fldCharType="separate"/>
      </w:r>
      <w:r>
        <w:rPr>
          <w:bCs/>
          <w:szCs w:val="22"/>
          <w:highlight w:val="none"/>
        </w:rPr>
        <w:t xml:space="preserve">附件三 分项报价表</w:t>
      </w:r>
      <w:r>
        <w:tab/>
      </w:r>
      <w:r>
        <w:fldChar w:fldCharType="begin"/>
      </w:r>
      <w:r>
        <w:instrText xml:space="preserve"> PAGEREF _Toc3300 \h </w:instrText>
      </w:r>
      <w:r>
        <w:fldChar w:fldCharType="separate"/>
      </w:r>
      <w:r>
        <w:t xml:space="preserve">36</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_Toc22663 </w:instrText>
      </w:r>
      <w:r>
        <w:rPr>
          <w:bCs/>
          <w:highlight w:val="none"/>
        </w:rPr>
        <w:fldChar w:fldCharType="separate"/>
      </w:r>
      <w:r>
        <w:rPr>
          <w:rFonts w:hint="eastAsia"/>
          <w:bCs/>
          <w:szCs w:val="22"/>
          <w:highlight w:val="none"/>
        </w:rPr>
        <w:t xml:space="preserve">附件四 </w:t>
      </w:r>
      <w:r>
        <w:rPr>
          <w:bCs/>
          <w:szCs w:val="22"/>
          <w:highlight w:val="none"/>
        </w:rPr>
        <w:t xml:space="preserve">商务条款偏离表</w:t>
      </w:r>
      <w:r>
        <w:tab/>
      </w:r>
      <w:r>
        <w:fldChar w:fldCharType="begin"/>
      </w:r>
      <w:r>
        <w:instrText xml:space="preserve"> PAGEREF _Toc22663 \h </w:instrText>
      </w:r>
      <w:r>
        <w:fldChar w:fldCharType="separate"/>
      </w:r>
      <w:r>
        <w:t xml:space="preserve">37</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_Toc21128 </w:instrText>
      </w:r>
      <w:r>
        <w:rPr>
          <w:bCs/>
          <w:highlight w:val="none"/>
        </w:rPr>
        <w:fldChar w:fldCharType="separate"/>
      </w:r>
      <w:r>
        <w:rPr>
          <w:bCs/>
          <w:szCs w:val="22"/>
          <w:highlight w:val="none"/>
        </w:rPr>
        <w:t xml:space="preserve">附件</w:t>
      </w:r>
      <w:r>
        <w:rPr>
          <w:rFonts w:hint="eastAsia"/>
          <w:bCs/>
          <w:szCs w:val="22"/>
          <w:highlight w:val="none"/>
        </w:rPr>
        <w:t xml:space="preserve">五</w:t>
      </w:r>
      <w:r>
        <w:rPr>
          <w:bCs/>
          <w:szCs w:val="22"/>
          <w:highlight w:val="none"/>
        </w:rPr>
        <w:t xml:space="preserve"> 技术条款偏离表</w:t>
      </w:r>
      <w:r>
        <w:tab/>
      </w:r>
      <w:r>
        <w:fldChar w:fldCharType="begin"/>
      </w:r>
      <w:r>
        <w:instrText xml:space="preserve"> PAGEREF _Toc21128 \h </w:instrText>
      </w:r>
      <w:r>
        <w:fldChar w:fldCharType="separate"/>
      </w:r>
      <w:r>
        <w:t xml:space="preserve">38</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_Toc3385 </w:instrText>
      </w:r>
      <w:r>
        <w:rPr>
          <w:bCs/>
          <w:highlight w:val="none"/>
        </w:rPr>
        <w:fldChar w:fldCharType="separate"/>
      </w:r>
      <w:r>
        <w:rPr>
          <w:bCs/>
          <w:szCs w:val="22"/>
          <w:highlight w:val="none"/>
        </w:rPr>
        <w:t xml:space="preserve">附件</w:t>
      </w:r>
      <w:r>
        <w:rPr>
          <w:rFonts w:hint="eastAsia"/>
          <w:bCs/>
          <w:szCs w:val="22"/>
          <w:highlight w:val="none"/>
        </w:rPr>
        <w:t xml:space="preserve">六</w:t>
      </w:r>
      <w:r>
        <w:rPr>
          <w:bCs/>
          <w:szCs w:val="22"/>
          <w:highlight w:val="none"/>
        </w:rPr>
        <w:t xml:space="preserve"> 政府采购政策</w:t>
      </w:r>
      <w:r>
        <w:tab/>
      </w:r>
      <w:r>
        <w:fldChar w:fldCharType="begin"/>
      </w:r>
      <w:r>
        <w:instrText xml:space="preserve"> PAGEREF _Toc3385 \h </w:instrText>
      </w:r>
      <w:r>
        <w:fldChar w:fldCharType="separate"/>
      </w:r>
      <w:r>
        <w:t xml:space="preserve">39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_Toc25785 </w:instrText>
      </w:r>
      <w:r>
        <w:rPr>
          <w:bCs/>
          <w:highlight w:val="none"/>
        </w:rPr>
        <w:fldChar w:fldCharType="separate"/>
      </w:r>
      <w:r>
        <w:rPr>
          <w:rFonts w:hint="eastAsia"/>
          <w:szCs w:val="30"/>
          <w:lang w:bidi="ar"/>
        </w:rPr>
        <w:t xml:space="preserve">（一） </w:t>
      </w:r>
      <w:r>
        <w:rPr>
          <w:bCs/>
          <w:szCs w:val="21"/>
          <w:highlight w:val="none"/>
        </w:rPr>
        <w:t xml:space="preserve">《中小企业声明函》</w:t>
      </w:r>
      <w:r>
        <w:tab/>
      </w:r>
      <w:r>
        <w:fldChar w:fldCharType="begin"/>
      </w:r>
      <w:r>
        <w:instrText xml:space="preserve"> PAGEREF _Toc25785 \h </w:instrText>
      </w:r>
      <w:r>
        <w:fldChar w:fldCharType="separate"/>
      </w:r>
      <w:r>
        <w:t xml:space="preserve">39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_Toc625 </w:instrText>
      </w:r>
      <w:r>
        <w:rPr>
          <w:bCs/>
          <w:highlight w:val="none"/>
        </w:rPr>
        <w:fldChar w:fldCharType="separate"/>
      </w:r>
      <w:r>
        <w:rPr>
          <w:bCs/>
          <w:szCs w:val="21"/>
          <w:highlight w:val="none"/>
        </w:rPr>
        <w:t xml:space="preserve">（二）残疾人福利性单位声明函</w:t>
      </w:r>
      <w:r>
        <w:tab/>
      </w:r>
      <w:r>
        <w:fldChar w:fldCharType="begin"/>
      </w:r>
      <w:r>
        <w:instrText xml:space="preserve"> PAGEREF _Toc625 \h </w:instrText>
      </w:r>
      <w:r>
        <w:fldChar w:fldCharType="separate"/>
      </w:r>
      <w:r>
        <w:t xml:space="preserve">41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_Toc19404 </w:instrText>
      </w:r>
      <w:r>
        <w:rPr>
          <w:bCs/>
          <w:highlight w:val="none"/>
        </w:rPr>
        <w:fldChar w:fldCharType="separate"/>
      </w:r>
      <w:r>
        <w:rPr>
          <w:rFonts w:hint="eastAsia"/>
          <w:bCs/>
          <w:szCs w:val="21"/>
          <w:highlight w:val="none"/>
        </w:rPr>
        <w:t xml:space="preserve">（三）采购本国产品的支持政策</w:t>
      </w:r>
      <w:r>
        <w:tab/>
      </w:r>
      <w:r>
        <w:fldChar w:fldCharType="begin"/>
      </w:r>
      <w:r>
        <w:instrText xml:space="preserve"> PAGEREF _Toc19404 \h </w:instrText>
      </w:r>
      <w:r>
        <w:fldChar w:fldCharType="separate"/>
      </w:r>
      <w:r>
        <w:t xml:space="preserve">42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_Toc6821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供应商基本情况表</w:t>
      </w:r>
      <w:r>
        <w:tab/>
      </w:r>
      <w:r>
        <w:fldChar w:fldCharType="begin"/>
      </w:r>
      <w:r>
        <w:instrText xml:space="preserve"> PAGEREF _Toc6821 \h </w:instrText>
      </w:r>
      <w:r>
        <w:fldChar w:fldCharType="separate"/>
      </w:r>
      <w:r>
        <w:t xml:space="preserve">43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_Toc13834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供应商情况告知表</w:t>
      </w:r>
      <w:r>
        <w:rPr>
          <w:bCs/>
          <w:szCs w:val="22"/>
          <w:highlight w:val="none"/>
        </w:rPr>
        <w:t xml:space="preserve">—附表</w:t>
      </w:r>
      <w:r>
        <w:tab/>
      </w:r>
      <w:r>
        <w:fldChar w:fldCharType="begin"/>
      </w:r>
      <w:r>
        <w:instrText xml:space="preserve"> PAGEREF _Toc13834 \h </w:instrText>
      </w:r>
      <w:r>
        <w:fldChar w:fldCharType="separate"/>
      </w:r>
      <w:r>
        <w:t xml:space="preserve">44</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_Toc29178 </w:instrText>
      </w:r>
      <w:r>
        <w:rPr>
          <w:bCs/>
          <w:highlight w:val="none"/>
        </w:rPr>
        <w:fldChar w:fldCharType="separate"/>
      </w:r>
      <w:r>
        <w:rPr>
          <w:bCs/>
          <w:szCs w:val="22"/>
          <w:highlight w:val="none"/>
          <w:lang w:val="zh-CN"/>
        </w:rPr>
        <w:t xml:space="preserve">附件</w:t>
      </w:r>
      <w:r>
        <w:rPr>
          <w:rFonts w:hint="eastAsia"/>
          <w:bCs/>
          <w:szCs w:val="22"/>
          <w:highlight w:val="none"/>
        </w:rPr>
        <w:t xml:space="preserve">八</w:t>
      </w:r>
      <w:r>
        <w:rPr>
          <w:bCs/>
          <w:szCs w:val="22"/>
          <w:highlight w:val="none"/>
          <w:lang w:val="zh-CN"/>
        </w:rPr>
        <w:t xml:space="preserve"> 资格证明文件</w:t>
      </w:r>
      <w:r>
        <w:tab/>
      </w:r>
      <w:r>
        <w:fldChar w:fldCharType="begin"/>
      </w:r>
      <w:r>
        <w:instrText xml:space="preserve"> PAGEREF _Toc29178 \h </w:instrText>
      </w:r>
      <w:r>
        <w:fldChar w:fldCharType="separate"/>
      </w:r>
      <w:r>
        <w:t xml:space="preserve">47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_Toc25088 </w:instrText>
      </w:r>
      <w:r>
        <w:rPr>
          <w:bCs/>
          <w:highlight w:val="none"/>
        </w:rPr>
        <w:fldChar w:fldCharType="separate"/>
      </w:r>
      <w:r>
        <w:rPr>
          <w:bCs/>
          <w:szCs w:val="21"/>
          <w:highlight w:val="none"/>
          <w:lang w:val="zh-CN"/>
        </w:rPr>
        <w:t xml:space="preserve">1、法人或其他组织的营业执照等证明文件（复印件加盖公章）</w:t>
      </w:r>
      <w:r>
        <w:tab/>
      </w:r>
      <w:r>
        <w:fldChar w:fldCharType="begin"/>
      </w:r>
      <w:r>
        <w:instrText xml:space="preserve"> PAGEREF _Toc25088 \h </w:instrText>
      </w:r>
      <w:r>
        <w:fldChar w:fldCharType="separate"/>
      </w:r>
      <w:r>
        <w:t xml:space="preserve">47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_Toc31708 </w:instrText>
      </w:r>
      <w:r>
        <w:rPr>
          <w:bCs/>
          <w:highlight w:val="none"/>
        </w:rPr>
        <w:fldChar w:fldCharType="separate"/>
      </w:r>
      <w:r>
        <w:rPr>
          <w:bCs/>
          <w:szCs w:val="21"/>
          <w:highlight w:val="none"/>
          <w:lang w:val="zh-CN"/>
        </w:rPr>
        <w:t xml:space="preserve">2、法人代表授权书</w:t>
      </w:r>
      <w:r>
        <w:tab/>
      </w:r>
      <w:r>
        <w:fldChar w:fldCharType="begin"/>
      </w:r>
      <w:r>
        <w:instrText xml:space="preserve"> PAGEREF _Toc31708 \h </w:instrText>
      </w:r>
      <w:r>
        <w:fldChar w:fldCharType="separate"/>
      </w:r>
      <w:r>
        <w:t xml:space="preserve">48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_Toc12339 </w:instrText>
      </w:r>
      <w:r>
        <w:rPr>
          <w:bCs/>
          <w:highlight w:val="none"/>
        </w:rPr>
        <w:fldChar w:fldCharType="separate"/>
      </w:r>
      <w:r>
        <w:rPr>
          <w:bCs/>
          <w:szCs w:val="21"/>
          <w:highlight w:val="none"/>
        </w:rPr>
        <w:t xml:space="preserve">3</w:t>
      </w:r>
      <w:r>
        <w:rPr>
          <w:bCs/>
          <w:szCs w:val="21"/>
          <w:highlight w:val="none"/>
          <w:lang w:val="zh-CN"/>
        </w:rPr>
        <w:t xml:space="preserve">、制造商授权书（如需）</w:t>
      </w:r>
      <w:r>
        <w:tab/>
      </w:r>
      <w:r>
        <w:fldChar w:fldCharType="begin"/>
      </w:r>
      <w:r>
        <w:instrText xml:space="preserve"> PAGEREF _Toc12339 \h </w:instrText>
      </w:r>
      <w:r>
        <w:fldChar w:fldCharType="separate"/>
      </w:r>
      <w:r>
        <w:t xml:space="preserve">49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_Toc3675 </w:instrText>
      </w:r>
      <w:r>
        <w:rPr>
          <w:bCs/>
          <w:highlight w:val="none"/>
        </w:rPr>
        <w:fldChar w:fldCharType="separate"/>
      </w:r>
      <w:r>
        <w:rPr>
          <w:bCs/>
          <w:szCs w:val="21"/>
          <w:highlight w:val="none"/>
        </w:rPr>
        <w:t xml:space="preserve">4</w:t>
      </w:r>
      <w:r>
        <w:rPr>
          <w:bCs/>
          <w:szCs w:val="21"/>
          <w:highlight w:val="none"/>
          <w:lang w:val="zh-CN"/>
        </w:rPr>
        <w:t xml:space="preserve">、具有良好的商业信誉和健全的财务会计制度</w:t>
      </w:r>
      <w:r>
        <w:tab/>
      </w:r>
      <w:r>
        <w:fldChar w:fldCharType="begin"/>
      </w:r>
      <w:r>
        <w:instrText xml:space="preserve"> PAGEREF _Toc3675 \h </w:instrText>
      </w:r>
      <w:r>
        <w:fldChar w:fldCharType="separate"/>
      </w:r>
      <w:r>
        <w:t xml:space="preserve">50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_Toc16265 </w:instrText>
      </w:r>
      <w:r>
        <w:rPr>
          <w:bCs/>
          <w:highlight w:val="none"/>
        </w:rPr>
        <w:fldChar w:fldCharType="separate"/>
      </w:r>
      <w:r>
        <w:rPr>
          <w:bCs/>
          <w:szCs w:val="21"/>
          <w:highlight w:val="none"/>
        </w:rPr>
        <w:t xml:space="preserve">5、</w:t>
      </w:r>
      <w:r>
        <w:rPr>
          <w:bCs/>
          <w:szCs w:val="21"/>
          <w:highlight w:val="none"/>
          <w:lang w:val="zh-CN"/>
        </w:rPr>
        <w:t xml:space="preserve">具有履行合同所必需的设备和专业技术能力</w:t>
      </w:r>
      <w:r>
        <w:tab/>
      </w:r>
      <w:r>
        <w:fldChar w:fldCharType="begin"/>
      </w:r>
      <w:r>
        <w:instrText xml:space="preserve"> PAGEREF _Toc16265 \h </w:instrText>
      </w:r>
      <w:r>
        <w:fldChar w:fldCharType="separate"/>
      </w:r>
      <w:r>
        <w:t xml:space="preserve">51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_Toc20859 </w:instrText>
      </w:r>
      <w:r>
        <w:rPr>
          <w:bCs/>
          <w:highlight w:val="none"/>
        </w:rPr>
        <w:fldChar w:fldCharType="separate"/>
      </w:r>
      <w:r>
        <w:rPr>
          <w:bCs/>
          <w:szCs w:val="21"/>
          <w:highlight w:val="none"/>
        </w:rPr>
        <w:t xml:space="preserve">6、参加政府采购活动近三年内（成立时间不足三年的、自成立时间起），在经营活动中没有重大违法记录</w:t>
      </w:r>
      <w:r>
        <w:tab/>
      </w:r>
      <w:r>
        <w:fldChar w:fldCharType="begin"/>
      </w:r>
      <w:r>
        <w:instrText xml:space="preserve"> PAGEREF _Toc20859 \h </w:instrText>
      </w:r>
      <w:r>
        <w:fldChar w:fldCharType="separate"/>
      </w:r>
      <w:r>
        <w:t xml:space="preserve">52</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_Toc20967 </w:instrText>
      </w:r>
      <w:r>
        <w:rPr>
          <w:bCs/>
          <w:highlight w:val="none"/>
        </w:rPr>
        <w:fldChar w:fldCharType="separate"/>
      </w:r>
      <w:r>
        <w:rPr>
          <w:bCs/>
          <w:szCs w:val="21"/>
          <w:highlight w:val="none"/>
        </w:rPr>
        <w:t xml:space="preserve">7、依法缴纳税收的记录</w:t>
      </w:r>
      <w:r>
        <w:tab/>
      </w:r>
      <w:r>
        <w:fldChar w:fldCharType="begin"/>
      </w:r>
      <w:r>
        <w:instrText xml:space="preserve"> PAGEREF _Toc20967 \h </w:instrText>
      </w:r>
      <w:r>
        <w:fldChar w:fldCharType="separate"/>
      </w:r>
      <w:r>
        <w:t xml:space="preserve">53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_Toc31178 </w:instrText>
      </w:r>
      <w:r>
        <w:rPr>
          <w:bCs/>
          <w:highlight w:val="none"/>
        </w:rPr>
        <w:fldChar w:fldCharType="separate"/>
      </w:r>
      <w:r>
        <w:rPr>
          <w:bCs/>
          <w:szCs w:val="21"/>
          <w:highlight w:val="none"/>
        </w:rPr>
        <w:t xml:space="preserve">8、依法缴纳社会保障资金的记录</w:t>
      </w:r>
      <w:r>
        <w:tab/>
      </w:r>
      <w:r>
        <w:fldChar w:fldCharType="begin"/>
      </w:r>
      <w:r>
        <w:instrText xml:space="preserve"> PAGEREF _Toc31178 \h </w:instrText>
      </w:r>
      <w:r>
        <w:fldChar w:fldCharType="separate"/>
      </w:r>
      <w:r>
        <w:t xml:space="preserve">54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_Toc25302 </w:instrText>
      </w:r>
      <w:r>
        <w:rPr>
          <w:bCs/>
          <w:highlight w:val="none"/>
        </w:rPr>
        <w:fldChar w:fldCharType="separate"/>
      </w:r>
      <w:r>
        <w:rPr>
          <w:bCs/>
          <w:szCs w:val="21"/>
          <w:highlight w:val="none"/>
        </w:rPr>
        <w:t xml:space="preserve">9、本项目不接受联合体投标，中标后不允许分包、转包。</w:t>
      </w:r>
      <w:r>
        <w:tab/>
      </w:r>
      <w:r>
        <w:fldChar w:fldCharType="begin"/>
      </w:r>
      <w:r>
        <w:instrText xml:space="preserve"> PAGEREF _Toc25302 \h </w:instrText>
      </w:r>
      <w:r>
        <w:fldChar w:fldCharType="separate"/>
      </w:r>
      <w:r>
        <w:t xml:space="preserve">55</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_Toc12552 </w:instrText>
      </w:r>
      <w:r>
        <w:rPr>
          <w:bCs/>
          <w:highlight w:val="none"/>
        </w:rPr>
        <w:fldChar w:fldCharType="separate"/>
      </w:r>
      <w:r>
        <w:rPr>
          <w:bCs/>
          <w:szCs w:val="21"/>
          <w:highlight w:val="none"/>
        </w:rPr>
        <w:t xml:space="preserve">10、</w:t>
      </w:r>
      <w:r>
        <w:rPr>
          <w:rFonts w:hint="eastAsia"/>
          <w:bCs/>
          <w:szCs w:val="21"/>
          <w:highlight w:val="none"/>
        </w:rPr>
        <w:t xml:space="preserve">1）投标人为医疗器械经营企业的，须根据投标产品的类别，提供投标人的《医疗器械经营许可证》或者《二类医疗器械经营备案凭证》（复印件加盖公章）；</w:t>
      </w:r>
      <w:r>
        <w:tab/>
      </w:r>
      <w:r>
        <w:fldChar w:fldCharType="begin"/>
      </w:r>
      <w:r>
        <w:instrText xml:space="preserve"> PAGEREF _Toc12552 \h </w:instrText>
      </w:r>
      <w:r>
        <w:fldChar w:fldCharType="separate"/>
      </w:r>
      <w:r>
        <w:t xml:space="preserve">56</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_Toc26661 </w:instrText>
      </w:r>
      <w:r>
        <w:rPr>
          <w:bCs/>
          <w:highlight w:val="none"/>
        </w:rPr>
        <w:fldChar w:fldCharType="separate"/>
      </w:r>
      <w:r>
        <w:rPr>
          <w:rFonts w:hint="eastAsia"/>
          <w:bCs/>
          <w:szCs w:val="21"/>
          <w:highlight w:val="none"/>
        </w:rPr>
        <w:t xml:space="preserve">2）医疗器械生产企业投标本企业产品的，须提供《医疗器械生产许可证》（复印件加盖公章）</w:t>
      </w:r>
      <w:r>
        <w:tab/>
      </w:r>
      <w:r>
        <w:fldChar w:fldCharType="begin"/>
      </w:r>
      <w:r>
        <w:instrText xml:space="preserve"> PAGEREF _Toc26661 \h </w:instrText>
      </w:r>
      <w:r>
        <w:fldChar w:fldCharType="separate"/>
      </w:r>
      <w:r>
        <w:t xml:space="preserve">56</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_Toc25759 </w:instrText>
      </w:r>
      <w:r>
        <w:rPr>
          <w:bCs/>
          <w:highlight w:val="none"/>
        </w:rPr>
        <w:fldChar w:fldCharType="separate"/>
      </w:r>
      <w:r>
        <w:rPr>
          <w:rFonts w:hint="eastAsia"/>
          <w:bCs/>
          <w:szCs w:val="21"/>
          <w:highlight w:val="none"/>
        </w:rPr>
        <w:t xml:space="preserve">3）提供产品医疗器械注册证复印件加盖公章。</w:t>
      </w:r>
      <w:r>
        <w:tab/>
      </w:r>
      <w:r>
        <w:fldChar w:fldCharType="begin"/>
      </w:r>
      <w:r>
        <w:instrText xml:space="preserve"> PAGEREF _Toc25759 \h </w:instrText>
      </w:r>
      <w:r>
        <w:fldChar w:fldCharType="separate"/>
      </w:r>
      <w:r>
        <w:t xml:space="preserve">56</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_Toc13552 </w:instrText>
      </w:r>
      <w:r>
        <w:rPr>
          <w:bCs/>
          <w:highlight w:val="none"/>
        </w:rPr>
        <w:fldChar w:fldCharType="separate"/>
      </w:r>
      <w:r>
        <w:rPr>
          <w:highlight w:val="none"/>
        </w:rPr>
        <w:t xml:space="preserve">附件</w:t>
      </w:r>
      <w:r>
        <w:rPr>
          <w:rFonts w:hint="eastAsia"/>
          <w:highlight w:val="none"/>
          <w:lang w:val="en-US" w:eastAsia="zh-CN"/>
        </w:rPr>
        <w:t xml:space="preserve">九</w:t>
      </w:r>
      <w:r>
        <w:rPr>
          <w:highlight w:val="none"/>
        </w:rPr>
        <w:t xml:space="preserve"> 其他相关文件</w:t>
      </w:r>
      <w:r>
        <w:tab/>
      </w:r>
      <w:r>
        <w:fldChar w:fldCharType="begin"/>
      </w:r>
      <w:r>
        <w:instrText xml:space="preserve"> PAGEREF _Toc13552 \h </w:instrText>
      </w:r>
      <w:r>
        <w:fldChar w:fldCharType="separate"/>
      </w:r>
      <w:r>
        <w:t xml:space="preserve">59</w:t>
      </w:r>
      <w:r>
        <w:fldChar w:fldCharType="end"/>
      </w:r>
      <w:r>
        <w:rPr>
          <w:bCs/>
          <w:color w:val="000000"/>
          <w:highlight w:val="none"/>
        </w:rPr>
        <w:fldChar w:fldCharType="end"/>
      </w:r>
      <w:r/>
    </w:p>
    <w:p>
      <w:pPr>
        <w:pStyle w:val="1140"/>
        <w:spacing w:line="440" w:lineRule="exact"/>
        <w:rPr>
          <w:bCs/>
          <w:color w:val="000000"/>
          <w:sz w:val="24"/>
          <w:highlight w:val="none"/>
        </w:rPr>
      </w:pPr>
      <w:r>
        <w:rPr>
          <w:bCs/>
          <w:color w:val="000000"/>
          <w:highlight w:val="none"/>
        </w:rPr>
        <w:fldChar w:fldCharType="end"/>
      </w:r>
      <w:r>
        <w:rPr>
          <w:bCs/>
          <w:color w:val="000000"/>
          <w:sz w:val="24"/>
          <w:highlight w:val="none"/>
        </w:rPr>
      </w:r>
      <w:r/>
    </w:p>
    <w:p>
      <w:pPr>
        <w:pStyle w:val="1140"/>
        <w:rPr>
          <w:color w:val="000000"/>
          <w:sz w:val="28"/>
          <w:szCs w:val="28"/>
          <w:highlight w:val="none"/>
        </w:rPr>
      </w:pPr>
      <w:r>
        <w:rPr>
          <w:color w:val="000000"/>
          <w:sz w:val="28"/>
          <w:szCs w:val="28"/>
          <w:highlight w:val="none"/>
        </w:rPr>
      </w:r>
      <w:r/>
    </w:p>
    <w:p>
      <w:pPr>
        <w:pStyle w:val="1140"/>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1140"/>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7767"/>
      <w:r/>
      <w:bookmarkStart w:id="1" w:name="_Toc27401"/>
      <w:r>
        <w:rPr>
          <w:b/>
          <w:color w:val="000000"/>
          <w:sz w:val="28"/>
          <w:szCs w:val="28"/>
          <w:highlight w:val="none"/>
        </w:rPr>
        <w:t xml:space="preserve">招标公告</w:t>
      </w:r>
      <w:bookmarkEnd w:id="0"/>
      <w:r/>
      <w:bookmarkEnd w:id="1"/>
      <w:r>
        <w:rPr>
          <w:b/>
          <w:color w:val="000000"/>
          <w:sz w:val="28"/>
          <w:szCs w:val="28"/>
          <w:highlight w:val="none"/>
        </w:rPr>
      </w:r>
      <w:r/>
    </w:p>
    <w:p>
      <w:pPr>
        <w:pStyle w:val="1140"/>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140"/>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江苏大学附属医院血液透析机</w:t>
      </w:r>
      <w:r>
        <w:rPr>
          <w:bCs/>
          <w:color w:val="000000"/>
          <w:szCs w:val="21"/>
          <w:highlight w:val="none"/>
        </w:rPr>
        <w:t xml:space="preserve">招标项目的潜在投标人应在</w:t>
      </w:r>
      <w:r>
        <w:rPr>
          <w:bCs/>
          <w:color w:val="000000"/>
          <w:szCs w:val="21"/>
          <w:highlight w:val="none"/>
          <w:u w:val="single"/>
        </w:rPr>
        <w:t xml:space="preserve">江苏苏美达仪器设备有限公司，南京市长江路198号14楼</w:t>
      </w:r>
      <w:r>
        <w:rPr>
          <w:bCs/>
          <w:color w:val="000000"/>
          <w:szCs w:val="21"/>
          <w:highlight w:val="none"/>
        </w:rPr>
        <w:t xml:space="preserve">获取招标文件，并于</w:t>
      </w:r>
      <w:r>
        <w:rPr>
          <w:bCs/>
          <w:color w:val="000000"/>
          <w:szCs w:val="21"/>
          <w:highlight w:val="none"/>
          <w:u w:val="single"/>
        </w:rPr>
        <w:t xml:space="preserve">202</w:t>
      </w:r>
      <w:r>
        <w:rPr>
          <w:rFonts w:hint="eastAsia"/>
          <w:bCs/>
          <w:color w:val="000000"/>
          <w:szCs w:val="21"/>
          <w:highlight w:val="none"/>
          <w:u w:val="single"/>
        </w:rPr>
        <w:t xml:space="preserve">6</w:t>
      </w:r>
      <w:r>
        <w:rPr>
          <w:bCs/>
          <w:color w:val="000000"/>
          <w:szCs w:val="21"/>
          <w:highlight w:val="none"/>
          <w:u w:val="single"/>
        </w:rPr>
        <w:t xml:space="preserve">年</w:t>
      </w:r>
      <w:r>
        <w:rPr>
          <w:rFonts w:hint="eastAsia"/>
          <w:bCs/>
          <w:color w:val="000000"/>
          <w:szCs w:val="21"/>
          <w:highlight w:val="none"/>
          <w:u w:val="single"/>
          <w:lang w:val="en-US" w:eastAsia="zh-CN"/>
        </w:rPr>
        <w:t xml:space="preserve">7</w:t>
      </w:r>
      <w:r>
        <w:rPr>
          <w:bCs/>
          <w:color w:val="000000"/>
          <w:szCs w:val="21"/>
          <w:highlight w:val="none"/>
          <w:u w:val="single"/>
        </w:rPr>
        <w:t xml:space="preserve">月</w:t>
      </w:r>
      <w:r>
        <w:rPr>
          <w:rFonts w:hint="eastAsia"/>
          <w:bCs/>
          <w:color w:val="000000"/>
          <w:szCs w:val="21"/>
          <w:highlight w:val="none"/>
          <w:u w:val="single"/>
          <w:lang w:val="en-US" w:eastAsia="zh-CN"/>
        </w:rPr>
        <w:t xml:space="preserve">2</w:t>
      </w:r>
      <w:r>
        <w:rPr>
          <w:bCs/>
          <w:color w:val="000000"/>
          <w:szCs w:val="21"/>
          <w:highlight w:val="none"/>
          <w:u w:val="single"/>
        </w:rPr>
        <w:t xml:space="preserve">日</w:t>
      </w:r>
      <w:r>
        <w:rPr>
          <w:rFonts w:hint="eastAsia"/>
          <w:bCs/>
          <w:color w:val="000000"/>
          <w:szCs w:val="21"/>
          <w:highlight w:val="none"/>
          <w:u w:val="single"/>
        </w:rPr>
        <w:t xml:space="preserve">9</w:t>
      </w:r>
      <w:r>
        <w:rPr>
          <w:bCs/>
          <w:color w:val="000000"/>
          <w:szCs w:val="21"/>
          <w:highlight w:val="none"/>
          <w:u w:val="single"/>
        </w:rPr>
        <w:t xml:space="preserve">点</w:t>
      </w:r>
      <w:r>
        <w:rPr>
          <w:rFonts w:hint="eastAsia"/>
          <w:bCs/>
          <w:color w:val="000000"/>
          <w:szCs w:val="21"/>
          <w:highlight w:val="none"/>
          <w:u w:val="single"/>
        </w:rPr>
        <w:t xml:space="preserve">3</w:t>
      </w:r>
      <w:r>
        <w:rPr>
          <w:bCs/>
          <w:color w:val="000000"/>
          <w:szCs w:val="21"/>
          <w:highlight w:val="none"/>
          <w:u w:val="single"/>
        </w:rPr>
        <w:t xml:space="preserve">0分</w:t>
      </w:r>
      <w:r>
        <w:rPr>
          <w:bCs/>
          <w:color w:val="000000"/>
          <w:szCs w:val="21"/>
          <w:highlight w:val="none"/>
        </w:rPr>
        <w:t xml:space="preserve">（北京时间）前递交投标文件。</w:t>
      </w:r>
      <w:r>
        <w:rPr>
          <w:bCs/>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2" w:name="_Toc35393621"/>
      <w:r/>
      <w:bookmarkStart w:id="3" w:name="_Toc28359002"/>
      <w:r/>
      <w:bookmarkStart w:id="4" w:name="_Toc27101"/>
      <w:r/>
      <w:bookmarkStart w:id="5" w:name="_Toc28359079"/>
      <w:r/>
      <w:bookmarkStart w:id="6" w:name="_Toc35393790"/>
      <w:r/>
      <w:bookmarkStart w:id="7" w:name="_Toc4194"/>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1、项目编号：</w:t>
      </w:r>
      <w:r>
        <w:rPr>
          <w:rFonts w:hint="eastAsia"/>
          <w:color w:val="000000"/>
          <w:szCs w:val="21"/>
          <w:highlight w:val="none"/>
          <w:lang w:eastAsia="zh-CN"/>
        </w:rPr>
        <w:t xml:space="preserve">JSZC-320000-SMDY-G2026-0051</w:t>
      </w:r>
      <w:r>
        <w:rPr>
          <w:rFonts w:hint="eastAsia"/>
          <w:color w:val="000000"/>
          <w:szCs w:val="21"/>
          <w:highlight w:val="none"/>
          <w:lang w:eastAsia="zh-CN"/>
        </w:rPr>
        <w:t xml:space="preserve">（2640SUMEC/XMGG4042）</w:t>
      </w:r>
      <w:r>
        <w:rPr>
          <w:rFonts w:hint="eastAsia"/>
          <w:color w:val="000000"/>
          <w:szCs w:val="21"/>
          <w:highlight w:val="none"/>
        </w:rPr>
      </w:r>
      <w:r/>
    </w:p>
    <w:p>
      <w:pPr>
        <w:pStyle w:val="1140"/>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color w:val="000000"/>
          <w:szCs w:val="21"/>
          <w:highlight w:val="none"/>
          <w:lang w:eastAsia="zh-CN"/>
        </w:rPr>
        <w:t xml:space="preserve">江苏大学附属医院血液透析机</w:t>
      </w:r>
      <w:r>
        <w:rPr>
          <w:rFonts w:hint="eastAsia" w:eastAsia="宋体"/>
          <w:color w:val="000000"/>
          <w:szCs w:val="21"/>
          <w:highlight w:val="none"/>
          <w:lang w:eastAsia="zh-CN"/>
        </w:rPr>
      </w:r>
      <w:r/>
    </w:p>
    <w:p>
      <w:pPr>
        <w:pStyle w:val="1140"/>
        <w:ind w:firstLine="420"/>
        <w:spacing w:line="360" w:lineRule="auto"/>
        <w:rPr>
          <w:color w:val="000000"/>
          <w:szCs w:val="21"/>
          <w:highlight w:val="none"/>
        </w:rPr>
      </w:pPr>
      <w:r>
        <w:rPr>
          <w:color w:val="000000"/>
          <w:szCs w:val="21"/>
          <w:highlight w:val="none"/>
        </w:rPr>
        <w:t xml:space="preserve">3、预算金额：人民币</w:t>
      </w:r>
      <w:r>
        <w:rPr>
          <w:rFonts w:hint="eastAsia"/>
          <w:color w:val="000000"/>
          <w:szCs w:val="21"/>
          <w:highlight w:val="none"/>
          <w:lang w:val="en-US" w:eastAsia="zh-CN"/>
        </w:rPr>
        <w:t xml:space="preserve">110</w:t>
      </w:r>
      <w:r>
        <w:rPr>
          <w:color w:val="000000"/>
          <w:szCs w:val="21"/>
          <w:highlight w:val="none"/>
        </w:rPr>
        <w:t xml:space="preserve">万元。</w:t>
      </w:r>
      <w:r>
        <w:rPr>
          <w:color w:val="000000"/>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4、最高限价：人民币</w:t>
      </w:r>
      <w:r>
        <w:rPr>
          <w:rFonts w:hint="eastAsia"/>
          <w:color w:val="000000"/>
          <w:szCs w:val="21"/>
          <w:highlight w:val="none"/>
          <w:lang w:val="en-US" w:eastAsia="zh-CN"/>
        </w:rPr>
        <w:t xml:space="preserve">110</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超过对应的</w:t>
      </w:r>
      <w:r>
        <w:rPr>
          <w:rFonts w:hint="eastAsia"/>
          <w:color w:val="000000"/>
          <w:szCs w:val="21"/>
          <w:highlight w:val="none"/>
        </w:rPr>
        <w:t xml:space="preserve">最高限价</w:t>
      </w:r>
      <w:r>
        <w:rPr>
          <w:color w:val="000000"/>
          <w:szCs w:val="21"/>
          <w:highlight w:val="none"/>
        </w:rPr>
        <w:t xml:space="preserve">作无效投标处理</w:t>
      </w:r>
      <w:r>
        <w:rPr>
          <w:rFonts w:hint="eastAsia"/>
          <w:color w:val="000000"/>
          <w:szCs w:val="21"/>
          <w:highlight w:val="none"/>
        </w:rPr>
        <w:t xml:space="preserve">。</w:t>
      </w:r>
      <w:r>
        <w:rPr>
          <w:rFonts w:hint="eastAsia"/>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5、采购需求：</w:t>
      </w:r>
      <w:r>
        <w:rPr>
          <w:color w:val="000000"/>
          <w:szCs w:val="21"/>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2542"/>
        <w:gridCol w:w="1771"/>
        <w:gridCol w:w="4563"/>
      </w:tblGrid>
      <w:tr>
        <w:trPr>
          <w:trHeight w:val="705"/>
        </w:trPr>
        <w:tc>
          <w:tcPr>
            <w:tcW w:w="358"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bookmarkEnd w:id="8"/>
            <w:r>
              <w:rPr>
                <w:b/>
                <w:color w:val="000000"/>
                <w:szCs w:val="21"/>
                <w:highlight w:val="none"/>
              </w:rPr>
              <w:t xml:space="preserve">序号</w:t>
            </w:r>
            <w:r>
              <w:rPr>
                <w:b/>
                <w:color w:val="000000"/>
                <w:szCs w:val="21"/>
                <w:highlight w:val="none"/>
              </w:rPr>
            </w:r>
            <w:r/>
          </w:p>
        </w:tc>
        <w:tc>
          <w:tcPr>
            <w:tcW w:w="1329"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926" w:type="dxa"/>
            <w:vAlign w:val="center"/>
            <w:textDirection w:val="lrTb"/>
            <w:noWrap w:val="false"/>
          </w:tcPr>
          <w:p>
            <w:pPr>
              <w:pStyle w:val="1140"/>
              <w:ind w:right="-107"/>
              <w:jc w:val="center"/>
              <w:spacing w:line="460" w:lineRule="exact"/>
              <w:tabs>
                <w:tab w:val="left" w:pos="4788" w:leader="none"/>
              </w:tabs>
              <w:rPr>
                <w:rFonts w:hint="eastAsia"/>
                <w:b/>
                <w:color w:val="000000"/>
                <w:szCs w:val="21"/>
                <w:highlight w:val="none"/>
              </w:rPr>
            </w:pPr>
            <w:r>
              <w:rPr>
                <w:rFonts w:hint="eastAsia"/>
                <w:b/>
                <w:color w:val="000000"/>
                <w:szCs w:val="21"/>
                <w:highlight w:val="none"/>
              </w:rPr>
              <w:t xml:space="preserve">数量（台/套）</w:t>
            </w:r>
            <w:r>
              <w:rPr>
                <w:rFonts w:hint="eastAsia"/>
                <w:b/>
                <w:color w:val="000000"/>
                <w:szCs w:val="21"/>
                <w:highlight w:val="none"/>
              </w:rPr>
            </w:r>
            <w:r/>
          </w:p>
        </w:tc>
        <w:tc>
          <w:tcPr>
            <w:tcW w:w="2385" w:type="dxa"/>
            <w:vAlign w:val="center"/>
            <w:textDirection w:val="lrTb"/>
            <w:noWrap w:val="false"/>
          </w:tcPr>
          <w:p>
            <w:pPr>
              <w:pStyle w:val="1140"/>
              <w:jc w:val="center"/>
              <w:spacing w:line="460" w:lineRule="exact"/>
              <w:tabs>
                <w:tab w:val="left" w:pos="4788" w:leader="none"/>
              </w:tabs>
              <w:rPr>
                <w:b/>
                <w:color w:val="000000"/>
                <w:szCs w:val="21"/>
                <w:highlight w:val="none"/>
              </w:rPr>
            </w:pPr>
            <w:r>
              <w:rPr>
                <w:b/>
                <w:color w:val="000000"/>
                <w:szCs w:val="21"/>
                <w:highlight w:val="none"/>
              </w:rPr>
              <w:t xml:space="preserve">简要技术要求</w:t>
            </w:r>
            <w:r>
              <w:rPr>
                <w:b/>
                <w:color w:val="000000"/>
                <w:szCs w:val="21"/>
                <w:highlight w:val="none"/>
              </w:rPr>
            </w:r>
            <w:r/>
          </w:p>
        </w:tc>
      </w:tr>
      <w:tr>
        <w:trPr>
          <w:trHeight w:val="877"/>
        </w:trPr>
        <w:tc>
          <w:tcPr>
            <w:tcW w:w="358"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329" w:type="dxa"/>
            <w:vAlign w:val="center"/>
            <w:textDirection w:val="lrTb"/>
            <w:noWrap w:val="false"/>
          </w:tcPr>
          <w:p>
            <w:pPr>
              <w:pStyle w:val="1140"/>
              <w:jc w:val="center"/>
              <w:widowControl/>
              <w:rPr>
                <w:rFonts w:hint="eastAsia"/>
                <w:color w:val="000000"/>
                <w:highlight w:val="none"/>
              </w:rPr>
            </w:pPr>
            <w:r>
              <w:rPr>
                <w:rFonts w:hint="eastAsia"/>
                <w:color w:val="000000"/>
                <w:highlight w:val="none"/>
              </w:rPr>
              <w:t xml:space="preserve">血液透析机</w:t>
            </w:r>
            <w:r>
              <w:rPr>
                <w:rFonts w:hint="eastAsia"/>
                <w:color w:val="000000"/>
                <w:highlight w:val="none"/>
              </w:rPr>
            </w:r>
            <w:r/>
          </w:p>
        </w:tc>
        <w:tc>
          <w:tcPr>
            <w:tcW w:w="926" w:type="dxa"/>
            <w:vAlign w:val="center"/>
            <w:textDirection w:val="lrTb"/>
            <w:noWrap w:val="false"/>
          </w:tcPr>
          <w:p>
            <w:pPr>
              <w:pStyle w:val="1140"/>
              <w:jc w:val="center"/>
              <w:widowControl/>
              <w:rPr>
                <w:rFonts w:hint="eastAsia" w:eastAsia="宋体"/>
                <w:color w:val="000000"/>
                <w:highlight w:val="none"/>
                <w:lang w:val="en-US" w:eastAsia="zh-CN"/>
              </w:rPr>
            </w:pPr>
            <w:r>
              <w:rPr>
                <w:rFonts w:hint="eastAsia"/>
                <w:color w:val="000000"/>
                <w:highlight w:val="none"/>
              </w:rPr>
              <w:t xml:space="preserve">1</w:t>
            </w:r>
            <w:r>
              <w:rPr>
                <w:rFonts w:hint="eastAsia"/>
                <w:color w:val="000000"/>
                <w:highlight w:val="none"/>
                <w:lang w:val="en-US" w:eastAsia="zh-CN"/>
              </w:rPr>
              <w:t xml:space="preserve">0</w:t>
            </w:r>
            <w:r>
              <w:rPr>
                <w:rFonts w:hint="eastAsia" w:eastAsia="宋体"/>
                <w:color w:val="000000"/>
                <w:highlight w:val="none"/>
                <w:lang w:val="en-US" w:eastAsia="zh-CN"/>
              </w:rPr>
            </w:r>
            <w:r/>
          </w:p>
        </w:tc>
        <w:tc>
          <w:tcPr>
            <w:tcW w:w="2385" w:type="dxa"/>
            <w:vAlign w:val="center"/>
            <w:textDirection w:val="lrTb"/>
            <w:noWrap w:val="false"/>
          </w:tcPr>
          <w:p>
            <w:pPr>
              <w:pStyle w:val="1140"/>
              <w:jc w:val="center"/>
              <w:spacing w:line="460" w:lineRule="exact"/>
              <w:tabs>
                <w:tab w:val="left" w:pos="4788" w:leader="none"/>
              </w:tabs>
              <w:rPr>
                <w:color w:val="000000"/>
                <w:szCs w:val="21"/>
                <w:highlight w:val="none"/>
              </w:rPr>
            </w:pPr>
            <w:r>
              <w:rPr>
                <w:color w:val="000000"/>
                <w:szCs w:val="21"/>
                <w:highlight w:val="none"/>
              </w:rPr>
              <w:t xml:space="preserve">详见招标文件第四章招标技术规格及要求</w:t>
            </w:r>
            <w:r>
              <w:rPr>
                <w:color w:val="000000"/>
                <w:szCs w:val="21"/>
                <w:highlight w:val="none"/>
              </w:rPr>
            </w:r>
            <w:r/>
          </w:p>
        </w:tc>
      </w:tr>
    </w:tbl>
    <w:p>
      <w:pPr>
        <w:pStyle w:val="1140"/>
        <w:ind w:firstLine="420"/>
        <w:spacing w:line="360" w:lineRule="auto"/>
        <w:rPr>
          <w:color w:val="000000"/>
          <w:szCs w:val="21"/>
          <w:highlight w:val="none"/>
        </w:rPr>
      </w:pPr>
      <w:r>
        <w:rPr>
          <w:color w:val="000000"/>
          <w:szCs w:val="21"/>
          <w:highlight w:val="none"/>
        </w:rPr>
        <w:t xml:space="preserve">6、合同履行期限：</w:t>
      </w:r>
      <w:r>
        <w:rPr>
          <w:rFonts w:hint="eastAsia"/>
          <w:color w:val="000000"/>
          <w:szCs w:val="21"/>
          <w:highlight w:val="none"/>
        </w:rPr>
        <w:t xml:space="preserve">合同生效后</w:t>
      </w:r>
      <w:r>
        <w:rPr>
          <w:rFonts w:hint="eastAsia"/>
          <w:color w:val="000000"/>
          <w:szCs w:val="21"/>
          <w:highlight w:val="none"/>
          <w:lang w:val="en-US" w:eastAsia="zh-CN"/>
        </w:rPr>
        <w:t xml:space="preserve">12</w:t>
      </w:r>
      <w:r>
        <w:rPr>
          <w:rFonts w:hint="eastAsia"/>
          <w:color w:val="000000"/>
          <w:szCs w:val="21"/>
          <w:highlight w:val="none"/>
        </w:rPr>
        <w:t xml:space="preserve">个月内按照医院需求分批供货，通知供货后一周内到货。</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9" w:name="_Toc35393622"/>
      <w:r/>
      <w:bookmarkStart w:id="10" w:name="_Toc35393791"/>
      <w:r/>
      <w:bookmarkStart w:id="11" w:name="_Toc28359080"/>
      <w:r/>
      <w:bookmarkStart w:id="12" w:name="_Toc28359003"/>
      <w:r/>
      <w:bookmarkStart w:id="13" w:name="_Toc7946"/>
      <w:r/>
      <w:bookmarkStart w:id="14" w:name="_Toc12215"/>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1140"/>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1)具有独立承担民事责任的能力，提供法人或其他组织的营业执照等证明文件，复印件加盖公章；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2)法人代表授权书（原件）及法定代表人、</w:t>
      </w:r>
      <w:r>
        <w:rPr>
          <w:b/>
          <w:bCs/>
          <w:color w:val="000000"/>
          <w:szCs w:val="22"/>
          <w:highlight w:val="none"/>
        </w:rPr>
        <w:t xml:space="preserve">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月内任意一月投标单位为其缴纳的社保证明</w:t>
      </w:r>
      <w:r>
        <w:rPr>
          <w:color w:val="000000"/>
          <w:szCs w:val="22"/>
          <w:highlight w:val="none"/>
        </w:rPr>
        <w:t xml:space="preserve">（如果是法定代表人直接参与投标的可以不提供授权书）；</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4)具有良好的商业信誉和健全的财务会计制度，提供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szCs w:val="22"/>
          <w:highlight w:val="none"/>
        </w:rPr>
        <w:t xml:space="preserve">内任意一月份的财务状况报告（至少包括资产负债表或利润表）（法人或者其他组织成立未满三个月的可以不提供），或其银行出具的资信证书（复印件）（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szCs w:val="22"/>
          <w:highlight w:val="none"/>
        </w:rPr>
        <w:t xml:space="preserve">内），或</w:t>
      </w:r>
      <w:r>
        <w:rPr>
          <w:rFonts w:hint="eastAsia"/>
          <w:color w:val="000000"/>
          <w:szCs w:val="22"/>
          <w:highlight w:val="none"/>
        </w:rPr>
        <w:t xml:space="preserve">上一年度（2024年或2025年）</w:t>
      </w:r>
      <w:r>
        <w:rPr>
          <w:color w:val="000000"/>
          <w:szCs w:val="22"/>
          <w:highlight w:val="none"/>
        </w:rPr>
        <w:t xml:space="preserve">经审计的财务报告复印件加盖公章；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5)具有履行合同所必需的设备和专业技术能力（根据项目需求提供履行合同所必需的设备和专业技术能力的证明材料或相关加盖公章的承诺函，承诺函自行编写）；</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6)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7)有依法缴纳税收的良好记录，提供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szCs w:val="22"/>
          <w:highlight w:val="none"/>
        </w:rPr>
        <w:t xml:space="preserve">内任意一月份的纳税</w:t>
      </w:r>
      <w:r>
        <w:rPr>
          <w:rFonts w:hint="eastAsia"/>
          <w:color w:val="000000"/>
          <w:szCs w:val="22"/>
          <w:highlight w:val="none"/>
        </w:rPr>
        <w:t xml:space="preserve">（企业代缴的个人所得税除外）</w:t>
      </w:r>
      <w:r>
        <w:rPr>
          <w:color w:val="000000"/>
          <w:szCs w:val="22"/>
          <w:highlight w:val="none"/>
        </w:rPr>
        <w:t xml:space="preserve">凭据复印件加盖公章（依法免税的应提供相应文件说明）；</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8)有依法缴纳社会保障资金的良好记录，提供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szCs w:val="22"/>
          <w:highlight w:val="none"/>
        </w:rPr>
        <w:t xml:space="preserve">内任意一月份的依法缴纳社会保障资金的凭据复印件加盖公章；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9)</w:t>
      </w:r>
      <w:r>
        <w:rPr>
          <w:b/>
          <w:bCs/>
          <w:color w:val="000000"/>
          <w:szCs w:val="21"/>
          <w:highlight w:val="none"/>
        </w:rPr>
        <w:t xml:space="preserve">本项目不接受进口产品投标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color w:val="000000"/>
          <w:szCs w:val="22"/>
          <w:highlight w:val="none"/>
        </w:rPr>
      </w:r>
      <w:r/>
    </w:p>
    <w:p>
      <w:pPr>
        <w:pStyle w:val="1140"/>
        <w:ind w:firstLine="420"/>
        <w:spacing w:line="360" w:lineRule="auto"/>
        <w:shd w:val="clear" w:color="auto" w:fill="ffffff"/>
        <w:widowControl/>
        <w:rPr>
          <w:color w:val="000000"/>
          <w:szCs w:val="22"/>
          <w:highlight w:val="none"/>
        </w:rPr>
      </w:pPr>
      <w:r/>
      <w:bookmarkStart w:id="15" w:name="_Toc28359004"/>
      <w:r/>
      <w:bookmarkStart w:id="16" w:name="_Toc28359081"/>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1140"/>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1140"/>
        <w:ind w:firstLine="420"/>
        <w:spacing w:line="360" w:lineRule="auto"/>
        <w:rPr>
          <w:color w:val="000000"/>
          <w:szCs w:val="22"/>
          <w:highlight w:val="none"/>
        </w:rPr>
      </w:pPr>
      <w:r>
        <w:rPr>
          <w:color w:val="000000"/>
          <w:szCs w:val="22"/>
          <w:highlight w:val="none"/>
        </w:rPr>
        <w:t xml:space="preserve">1）投标人为医疗器械经营企业的，须根据投标产品的类别，提供投标人的《医疗器械经营许可证》或者《二类医疗器械经营备案凭证》（复印件加盖公章）；</w:t>
      </w:r>
      <w:r>
        <w:rPr>
          <w:color w:val="000000"/>
          <w:szCs w:val="22"/>
          <w:highlight w:val="none"/>
        </w:rPr>
      </w:r>
      <w:r/>
    </w:p>
    <w:p>
      <w:pPr>
        <w:pStyle w:val="1140"/>
        <w:ind w:firstLine="420"/>
        <w:spacing w:line="360" w:lineRule="auto"/>
        <w:rPr>
          <w:color w:val="000000"/>
          <w:szCs w:val="22"/>
          <w:highlight w:val="none"/>
        </w:rPr>
      </w:pPr>
      <w:r>
        <w:rPr>
          <w:rFonts w:hint="eastAsia"/>
          <w:color w:val="000000"/>
          <w:szCs w:val="22"/>
          <w:highlight w:val="none"/>
        </w:rPr>
        <w:t xml:space="preserve">2）</w:t>
      </w:r>
      <w:r>
        <w:rPr>
          <w:color w:val="000000"/>
          <w:szCs w:val="22"/>
          <w:highlight w:val="none"/>
        </w:rPr>
        <w:t xml:space="preserve">医疗器械生产企业投标本企业产品的，须提供《医疗器械生产许可证》（复印件加盖公章）</w:t>
      </w:r>
      <w:r>
        <w:rPr>
          <w:color w:val="000000"/>
          <w:szCs w:val="22"/>
          <w:highlight w:val="none"/>
        </w:rPr>
      </w:r>
      <w:r/>
    </w:p>
    <w:p>
      <w:pPr>
        <w:pStyle w:val="1140"/>
        <w:ind w:firstLine="420"/>
        <w:spacing w:line="360" w:lineRule="auto"/>
        <w:rPr>
          <w:rFonts w:hint="eastAsia"/>
          <w:bCs/>
          <w:color w:val="000000"/>
          <w:szCs w:val="22"/>
          <w:highlight w:val="none"/>
        </w:rPr>
      </w:pPr>
      <w:r>
        <w:rPr>
          <w:rFonts w:hint="eastAsia"/>
          <w:color w:val="000000"/>
          <w:szCs w:val="22"/>
          <w:highlight w:val="none"/>
        </w:rPr>
        <w:t xml:space="preserve">3</w:t>
      </w:r>
      <w:r>
        <w:rPr>
          <w:color w:val="000000"/>
          <w:szCs w:val="22"/>
          <w:highlight w:val="none"/>
        </w:rPr>
        <w:t xml:space="preserve">）提供</w:t>
      </w:r>
      <w:r>
        <w:rPr>
          <w:rFonts w:hint="eastAsia"/>
          <w:color w:val="000000"/>
          <w:szCs w:val="22"/>
          <w:highlight w:val="none"/>
        </w:rPr>
        <w:t xml:space="preserve">产品</w:t>
      </w:r>
      <w:r>
        <w:rPr>
          <w:color w:val="000000"/>
          <w:szCs w:val="22"/>
          <w:highlight w:val="none"/>
        </w:rPr>
        <w:t xml:space="preserve">医疗器械注册证复印件加盖公章</w:t>
      </w:r>
      <w:r>
        <w:rPr>
          <w:rFonts w:hint="eastAsia"/>
          <w:bCs/>
          <w:color w:val="000000"/>
          <w:szCs w:val="22"/>
          <w:highlight w:val="none"/>
        </w:rPr>
        <w:t xml:space="preserve">。</w:t>
      </w:r>
      <w:r>
        <w:rPr>
          <w:rFonts w:hint="eastAsia"/>
          <w:bCs/>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1196"/>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w:t>
      </w:r>
      <w:r>
        <w:rPr>
          <w:color w:val="000000"/>
          <w:highlight w:val="none"/>
        </w:rPr>
        <w:t xml:space="preserve">的信用记录并保存。</w:t>
      </w:r>
      <w:r>
        <w:rPr>
          <w:color w:val="000000"/>
          <w:highlight w:val="none"/>
        </w:rPr>
      </w:r>
      <w:r/>
    </w:p>
    <w:p>
      <w:pPr>
        <w:pStyle w:val="1142"/>
        <w:spacing w:before="0" w:after="0" w:line="360" w:lineRule="auto"/>
        <w:rPr>
          <w:rFonts w:ascii="Times New Roman" w:hAnsi="Times New Roman" w:eastAsia="宋体"/>
          <w:color w:val="000000"/>
          <w:sz w:val="21"/>
          <w:szCs w:val="21"/>
          <w:highlight w:val="none"/>
        </w:rPr>
      </w:pPr>
      <w:r/>
      <w:bookmarkStart w:id="17" w:name="_Toc35393792"/>
      <w:r/>
      <w:bookmarkStart w:id="18" w:name="_Toc31913"/>
      <w:r/>
      <w:bookmarkStart w:id="19" w:name="_Toc35393623"/>
      <w:r/>
      <w:bookmarkStart w:id="20" w:name="_Toc29835"/>
      <w:r>
        <w:rPr>
          <w:rFonts w:ascii="Times New Roman" w:hAnsi="Times New Roman" w:eastAsia="宋体"/>
          <w:color w:val="000000"/>
          <w:sz w:val="21"/>
          <w:szCs w:val="21"/>
          <w:highlight w:val="none"/>
        </w:rPr>
        <w:t xml:space="preserve">三、获取招标文件</w:t>
      </w:r>
      <w:bookmarkEnd w:id="15"/>
      <w:r/>
      <w:bookmarkEnd w:id="16"/>
      <w:r/>
      <w:bookmarkEnd w:id="17"/>
      <w:r/>
      <w:bookmarkEnd w:id="18"/>
      <w:r/>
      <w:bookmarkEnd w:id="19"/>
      <w:r/>
      <w:bookmarkEnd w:id="20"/>
      <w:r>
        <w:rPr>
          <w:rFonts w:ascii="Times New Roman" w:hAnsi="Times New Roman" w:eastAsia="宋体"/>
          <w:color w:val="000000"/>
          <w:sz w:val="21"/>
          <w:szCs w:val="21"/>
          <w:highlight w:val="none"/>
        </w:rPr>
      </w:r>
      <w:r/>
    </w:p>
    <w:p>
      <w:pPr>
        <w:pStyle w:val="1140"/>
        <w:ind w:firstLine="540"/>
        <w:spacing w:line="360" w:lineRule="auto"/>
        <w:rPr>
          <w:color w:val="000000"/>
          <w:szCs w:val="21"/>
          <w:highlight w:val="none"/>
        </w:rPr>
      </w:pPr>
      <w:r>
        <w:rPr>
          <w:rFonts w:hint="eastAsia"/>
          <w:color w:val="000000"/>
          <w:szCs w:val="21"/>
          <w:highlight w:val="none"/>
        </w:rPr>
        <w:t xml:space="preserve">1.截止时间：自公告发布之日起5个工作日</w:t>
      </w:r>
      <w:r>
        <w:rPr>
          <w:color w:val="000000"/>
          <w:szCs w:val="21"/>
          <w:highlight w:val="none"/>
        </w:rPr>
        <w:t xml:space="preserve">。</w:t>
      </w:r>
      <w:r>
        <w:rPr>
          <w:color w:val="000000"/>
          <w:szCs w:val="21"/>
          <w:highlight w:val="none"/>
        </w:rPr>
      </w:r>
      <w:r/>
    </w:p>
    <w:p>
      <w:pPr>
        <w:pStyle w:val="1140"/>
        <w:ind w:firstLine="540"/>
        <w:spacing w:line="360" w:lineRule="auto"/>
        <w:rPr>
          <w:color w:val="000000"/>
          <w:szCs w:val="21"/>
          <w:highlight w:val="none"/>
          <w:u w:val="single"/>
        </w:rPr>
      </w:pPr>
      <w:r>
        <w:rPr>
          <w:rFonts w:hint="eastAsia"/>
          <w:color w:val="000000"/>
          <w:szCs w:val="21"/>
          <w:highlight w:val="none"/>
        </w:rPr>
        <w:t xml:space="preserve">2.</w:t>
      </w:r>
      <w:r>
        <w:rPr>
          <w:color w:val="000000"/>
          <w:szCs w:val="21"/>
          <w:highlight w:val="none"/>
        </w:rPr>
        <w:t xml:space="preserve">地点：</w:t>
      </w:r>
      <w:r>
        <w:rPr>
          <w:rFonts w:hint="eastAsia"/>
          <w:color w:val="000000"/>
          <w:szCs w:val="21"/>
          <w:highlight w:val="none"/>
        </w:rPr>
        <w:t xml:space="preserve">“苏采云”系统内免费下载（投标人必须在苏采云系统中获取采购文件，方能参与政府采购项目）</w:t>
      </w:r>
      <w:r>
        <w:rPr>
          <w:color w:val="000000"/>
          <w:szCs w:val="21"/>
          <w:highlight w:val="none"/>
          <w:u w:val="single"/>
        </w:rPr>
      </w:r>
      <w:r/>
    </w:p>
    <w:p>
      <w:pPr>
        <w:pStyle w:val="1140"/>
        <w:ind w:firstLine="540"/>
        <w:spacing w:line="360" w:lineRule="auto"/>
        <w:rPr>
          <w:color w:val="000000"/>
          <w:szCs w:val="21"/>
          <w:highlight w:val="none"/>
          <w:u w:val="single"/>
        </w:rPr>
      </w:pPr>
      <w:r>
        <w:rPr>
          <w:rFonts w:hint="eastAsia"/>
          <w:color w:val="000000"/>
          <w:szCs w:val="21"/>
          <w:highlight w:val="none"/>
        </w:rPr>
        <w:t xml:space="preserve">3.</w:t>
      </w:r>
      <w:r>
        <w:rPr>
          <w:color w:val="000000"/>
          <w:szCs w:val="21"/>
          <w:highlight w:val="none"/>
        </w:rPr>
        <w:t xml:space="preserve">方式：</w:t>
      </w:r>
      <w:r>
        <w:rPr>
          <w:rFonts w:hint="eastAsia" w:ascii="宋体" w:hAnsi="宋体" w:cs="宋体"/>
          <w:color w:val="000000"/>
          <w:szCs w:val="21"/>
          <w:highlight w:val="none"/>
        </w:rPr>
        <w:t xml:space="preserve">苏采云系统注册登记成功后系统内免费下载</w:t>
      </w:r>
      <w:r>
        <w:rPr>
          <w:color w:val="000000"/>
          <w:szCs w:val="21"/>
          <w:highlight w:val="none"/>
          <w:u w:val="single"/>
        </w:rPr>
      </w:r>
      <w:r/>
    </w:p>
    <w:p>
      <w:pPr>
        <w:pStyle w:val="1140"/>
        <w:ind w:firstLine="540"/>
        <w:spacing w:line="360" w:lineRule="auto"/>
        <w:rPr>
          <w:color w:val="000000"/>
          <w:szCs w:val="21"/>
          <w:highlight w:val="none"/>
        </w:rPr>
      </w:pPr>
      <w:r>
        <w:rPr>
          <w:rFonts w:hint="eastAsia"/>
          <w:color w:val="000000"/>
          <w:szCs w:val="21"/>
          <w:highlight w:val="none"/>
        </w:rPr>
        <w:t xml:space="preserve">4.文件售价：</w:t>
      </w:r>
      <w:r>
        <w:rPr>
          <w:rFonts w:hint="eastAsia" w:ascii="宋体" w:hAnsi="宋体" w:cs="宋体"/>
          <w:color w:val="000000"/>
          <w:szCs w:val="21"/>
          <w:highlight w:val="none"/>
        </w:rPr>
        <w:t xml:space="preserve">0元</w:t>
      </w:r>
      <w:r>
        <w:rPr>
          <w:rFonts w:hint="eastAsia"/>
          <w:color w:val="000000"/>
          <w:szCs w:val="21"/>
          <w:highlight w:val="none"/>
        </w:rPr>
        <w:t xml:space="preserve">。</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21" w:name="_Toc28359082"/>
      <w:r/>
      <w:bookmarkStart w:id="22" w:name="_Toc28359005"/>
      <w:r/>
      <w:bookmarkStart w:id="23" w:name="_Toc5128"/>
      <w:r/>
      <w:bookmarkStart w:id="24" w:name="_Toc35393793"/>
      <w:r/>
      <w:bookmarkStart w:id="25" w:name="_Toc35393624"/>
      <w:r/>
      <w:bookmarkStart w:id="26" w:name="_Toc2762"/>
      <w:r>
        <w:rPr>
          <w:rFonts w:ascii="Times New Roman" w:hAnsi="Times New Roman" w:eastAsia="宋体"/>
          <w:color w:val="000000"/>
          <w:sz w:val="21"/>
          <w:szCs w:val="21"/>
          <w:highlight w:val="none"/>
        </w:rPr>
        <w:t xml:space="preserve">四、提交投标文件</w:t>
      </w:r>
      <w:bookmarkEnd w:id="21"/>
      <w:r/>
      <w:bookmarkEnd w:id="22"/>
      <w:r>
        <w:rPr>
          <w:rFonts w:ascii="Times New Roman" w:hAnsi="Times New Roman" w:eastAsia="宋体"/>
          <w:color w:val="000000"/>
          <w:sz w:val="21"/>
          <w:szCs w:val="21"/>
          <w:highlight w:val="none"/>
        </w:rPr>
        <w:t xml:space="preserve">截止时间、开标时间和地点</w:t>
      </w:r>
      <w:bookmarkEnd w:id="23"/>
      <w:r/>
      <w:bookmarkEnd w:id="24"/>
      <w:r/>
      <w:bookmarkEnd w:id="25"/>
      <w:r/>
      <w:bookmarkEnd w:id="26"/>
      <w:r>
        <w:rPr>
          <w:rFonts w:ascii="Times New Roman" w:hAnsi="Times New Roman" w:eastAsia="宋体"/>
          <w:color w:val="000000"/>
          <w:sz w:val="21"/>
          <w:szCs w:val="21"/>
          <w:highlight w:val="none"/>
        </w:rPr>
      </w:r>
      <w:r/>
    </w:p>
    <w:p>
      <w:pPr>
        <w:pStyle w:val="1140"/>
        <w:ind w:firstLine="420"/>
        <w:spacing w:line="360" w:lineRule="auto"/>
        <w:rPr>
          <w:color w:val="000000"/>
          <w:highlight w:val="none"/>
        </w:rPr>
      </w:pPr>
      <w:r>
        <w:rPr>
          <w:color w:val="000000"/>
          <w:highlight w:val="none"/>
        </w:rPr>
        <w:t xml:space="preserve">提交投标文件开始时间：202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7</w:t>
      </w:r>
      <w:r>
        <w:rPr>
          <w:color w:val="000000"/>
          <w:highlight w:val="none"/>
        </w:rPr>
        <w:t xml:space="preserve">月</w:t>
      </w:r>
      <w:r>
        <w:rPr>
          <w:rFonts w:hint="eastAsia"/>
          <w:color w:val="000000"/>
          <w:highlight w:val="none"/>
          <w:lang w:val="en-US" w:eastAsia="zh-CN"/>
        </w:rPr>
        <w:t xml:space="preserve">2</w:t>
      </w:r>
      <w:r>
        <w:rPr>
          <w:color w:val="000000"/>
          <w:highlight w:val="none"/>
        </w:rPr>
        <w:t xml:space="preserve">日</w:t>
      </w:r>
      <w:r>
        <w:rPr>
          <w:rFonts w:hint="eastAsia"/>
          <w:color w:val="000000"/>
          <w:highlight w:val="none"/>
        </w:rPr>
        <w:t xml:space="preserve">9</w:t>
      </w:r>
      <w:r>
        <w:rPr>
          <w:color w:val="000000"/>
          <w:highlight w:val="none"/>
        </w:rPr>
        <w:t xml:space="preserve">点</w:t>
      </w:r>
      <w:r>
        <w:rPr>
          <w:rFonts w:hint="eastAsia"/>
          <w:color w:val="000000"/>
          <w:highlight w:val="none"/>
        </w:rPr>
        <w:t xml:space="preserve">0</w:t>
      </w:r>
      <w:r>
        <w:rPr>
          <w:color w:val="000000"/>
          <w:highlight w:val="none"/>
        </w:rPr>
        <w:t xml:space="preserve">0分（北京时间）</w:t>
      </w:r>
      <w:r>
        <w:rPr>
          <w:color w:val="000000"/>
          <w:highlight w:val="none"/>
        </w:rPr>
      </w:r>
      <w:r/>
    </w:p>
    <w:p>
      <w:pPr>
        <w:pStyle w:val="1140"/>
        <w:ind w:firstLine="420"/>
        <w:spacing w:line="360" w:lineRule="auto"/>
        <w:rPr>
          <w:color w:val="000000"/>
          <w:highlight w:val="none"/>
        </w:rPr>
      </w:pPr>
      <w:r>
        <w:rPr>
          <w:color w:val="000000"/>
          <w:highlight w:val="none"/>
        </w:rPr>
        <w:t xml:space="preserve">提交投标文件截止时间、开标时间：202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7</w:t>
      </w:r>
      <w:r>
        <w:rPr>
          <w:color w:val="000000"/>
          <w:highlight w:val="none"/>
        </w:rPr>
        <w:t xml:space="preserve">月</w:t>
      </w:r>
      <w:r>
        <w:rPr>
          <w:rFonts w:hint="eastAsia"/>
          <w:color w:val="000000"/>
          <w:highlight w:val="none"/>
          <w:lang w:val="en-US" w:eastAsia="zh-CN"/>
        </w:rPr>
        <w:t xml:space="preserve">2</w:t>
      </w:r>
      <w:r>
        <w:rPr>
          <w:color w:val="000000"/>
          <w:highlight w:val="none"/>
        </w:rPr>
        <w:t xml:space="preserve">日</w:t>
      </w:r>
      <w:r>
        <w:rPr>
          <w:rFonts w:hint="eastAsia"/>
          <w:color w:val="000000"/>
          <w:highlight w:val="none"/>
        </w:rPr>
        <w:t xml:space="preserve">9</w:t>
      </w:r>
      <w:r>
        <w:rPr>
          <w:color w:val="000000"/>
          <w:highlight w:val="none"/>
        </w:rPr>
        <w:t xml:space="preserve">点</w:t>
      </w:r>
      <w:r>
        <w:rPr>
          <w:rFonts w:hint="eastAsia"/>
          <w:color w:val="000000"/>
          <w:highlight w:val="none"/>
        </w:rPr>
        <w:t xml:space="preserve">30</w:t>
      </w:r>
      <w:r>
        <w:rPr>
          <w:color w:val="000000"/>
          <w:highlight w:val="none"/>
        </w:rPr>
        <w:t xml:space="preserve">分（北京时间）</w:t>
      </w:r>
      <w:r>
        <w:rPr>
          <w:color w:val="000000"/>
          <w:highlight w:val="none"/>
        </w:rPr>
      </w:r>
      <w:r/>
    </w:p>
    <w:p>
      <w:pPr>
        <w:pStyle w:val="1140"/>
        <w:ind w:firstLine="420"/>
        <w:spacing w:line="360" w:lineRule="auto"/>
        <w:rPr>
          <w:color w:val="000000"/>
          <w:highlight w:val="none"/>
        </w:rPr>
      </w:pPr>
      <w:r/>
      <w:bookmarkStart w:id="27" w:name="_Toc35393794"/>
      <w:r/>
      <w:bookmarkStart w:id="28" w:name="_Toc35393625"/>
      <w:r/>
      <w:bookmarkStart w:id="29" w:name="_Toc1571"/>
      <w:r/>
      <w:bookmarkStart w:id="30" w:name="_Toc28359084"/>
      <w:r/>
      <w:bookmarkStart w:id="31" w:name="_Toc28359007"/>
      <w:r>
        <w:rPr>
          <w:color w:val="000000"/>
          <w:highlight w:val="none"/>
        </w:rPr>
        <w:t xml:space="preserve">地点：</w:t>
      </w:r>
      <w:r>
        <w:rPr>
          <w:rFonts w:hint="eastAsia"/>
          <w:color w:val="000000"/>
          <w:highlight w:val="none"/>
        </w:rPr>
        <w:t xml:space="preserve">“苏采云”系统（网址： http://jszfcg.jsczt.cn/）“开标大厅”</w:t>
      </w:r>
      <w:r>
        <w:rPr>
          <w:color w:val="000000"/>
          <w:highlight w:val="none"/>
        </w:rPr>
      </w:r>
      <w:r/>
    </w:p>
    <w:p>
      <w:pPr>
        <w:pStyle w:val="1142"/>
        <w:spacing w:before="0" w:after="0" w:line="360" w:lineRule="auto"/>
        <w:rPr>
          <w:rFonts w:ascii="Times New Roman" w:hAnsi="Times New Roman" w:eastAsia="宋体"/>
          <w:color w:val="000000"/>
          <w:sz w:val="21"/>
          <w:szCs w:val="21"/>
          <w:highlight w:val="none"/>
        </w:rPr>
      </w:pPr>
      <w:r/>
      <w:bookmarkStart w:id="32" w:name="_Toc29257"/>
      <w:r>
        <w:rPr>
          <w:rFonts w:ascii="Times New Roman" w:hAnsi="Times New Roman" w:eastAsia="宋体"/>
          <w:color w:val="000000"/>
          <w:sz w:val="21"/>
          <w:szCs w:val="21"/>
          <w:highlight w:val="none"/>
        </w:rPr>
        <w:t xml:space="preserve">五、公告期限</w:t>
      </w:r>
      <w:bookmarkEnd w:id="27"/>
      <w:r/>
      <w:bookmarkEnd w:id="28"/>
      <w:r/>
      <w:bookmarkEnd w:id="29"/>
      <w:r/>
      <w:bookmarkEnd w:id="30"/>
      <w:r/>
      <w:bookmarkEnd w:id="31"/>
      <w:r/>
      <w:bookmarkEnd w:id="32"/>
      <w:r>
        <w:rPr>
          <w:rFonts w:ascii="Times New Roman" w:hAnsi="Times New Roman" w:eastAsia="宋体"/>
          <w:color w:val="000000"/>
          <w:sz w:val="21"/>
          <w:szCs w:val="21"/>
          <w:highlight w:val="none"/>
        </w:rPr>
      </w:r>
      <w:r/>
    </w:p>
    <w:p>
      <w:pPr>
        <w:pStyle w:val="1140"/>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33" w:name="_Toc35393795"/>
      <w:r/>
      <w:bookmarkStart w:id="34" w:name="_Toc27738"/>
      <w:r/>
      <w:bookmarkStart w:id="35" w:name="_Toc35393626"/>
      <w:r/>
      <w:bookmarkStart w:id="36" w:name="_Toc29635"/>
      <w:r>
        <w:rPr>
          <w:rFonts w:ascii="Times New Roman" w:hAnsi="Times New Roman" w:eastAsia="宋体"/>
          <w:color w:val="000000"/>
          <w:sz w:val="21"/>
          <w:szCs w:val="21"/>
          <w:highlight w:val="none"/>
        </w:rPr>
        <w:t xml:space="preserve">六、其他补充事宜</w:t>
      </w:r>
      <w:bookmarkEnd w:id="33"/>
      <w:r/>
      <w:bookmarkEnd w:id="34"/>
      <w:r/>
      <w:bookmarkEnd w:id="35"/>
      <w:r/>
      <w:bookmarkEnd w:id="36"/>
      <w:r>
        <w:rPr>
          <w:rFonts w:ascii="Times New Roman" w:hAnsi="Times New Roman" w:eastAsia="宋体"/>
          <w:color w:val="000000"/>
          <w:sz w:val="21"/>
          <w:szCs w:val="21"/>
          <w:highlight w:val="none"/>
        </w:rPr>
      </w:r>
      <w:r/>
    </w:p>
    <w:p>
      <w:pPr>
        <w:pStyle w:val="1140"/>
        <w:ind w:firstLine="420"/>
        <w:spacing w:line="360" w:lineRule="auto"/>
        <w:rPr>
          <w:color w:val="000000"/>
          <w:szCs w:val="22"/>
          <w:highlight w:val="none"/>
        </w:rPr>
      </w:pPr>
      <w:r/>
      <w:bookmarkStart w:id="37" w:name="_Toc35393627"/>
      <w:r/>
      <w:bookmarkStart w:id="38" w:name="_Toc35393796"/>
      <w:r/>
      <w:bookmarkStart w:id="39" w:name="_Toc28359008"/>
      <w:r/>
      <w:bookmarkStart w:id="40" w:name="_Toc28359085"/>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2.潜在供应商访问电子招标响应交易平台的网络地址和方法：</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3.潜在供应商访问“苏采云”系统的网络地址和方法：“苏采云”系统的网址：http://jszfcg.jsczt.cn/。</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4.“CA数字证书”的获取：</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响应供应商需办理“CA 数字证书”，CA办理指南及“苏采云”操作手册可至江苏省政府采购网―办事指南-资料下载中心下载。</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5.采购文件（后缀名为“.kedt”）、供应商操作手册及政府采购客户端工具可通过“苏采云”系统--已报名项目--报名详情页面内相应链接进行下载。</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6.采购人或采购代理机构将数据电文形式的采购文件加载至“苏采云”系统，供潜在供应商下载或者查阅。</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注：如潜在供应商未按上述要求操作，将自行承担所产生的风险。</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8.项目开标活动模式：不见面远程开标模式，供应商在各自地点通过不见面交易系统参加开标会。</w:t>
      </w:r>
      <w:r>
        <w:rPr>
          <w:rFonts w:hint="eastAsia"/>
          <w:color w:val="000000"/>
          <w:szCs w:val="22"/>
          <w:highlight w:val="none"/>
        </w:rPr>
      </w:r>
      <w:r/>
    </w:p>
    <w:p>
      <w:pPr>
        <w:pStyle w:val="1140"/>
        <w:ind w:firstLine="540"/>
        <w:spacing w:line="360" w:lineRule="auto"/>
        <w:rPr>
          <w:color w:val="000000"/>
          <w:szCs w:val="22"/>
          <w:highlight w:val="none"/>
        </w:rPr>
      </w:pPr>
      <w:r>
        <w:rPr>
          <w:rFonts w:hint="eastAsia"/>
          <w:color w:val="000000"/>
          <w:szCs w:val="22"/>
          <w:highlight w:val="none"/>
        </w:rPr>
        <w:t xml:space="preserve">9.投标文件的解密：开标当天各供应商及时登录不见面开标大厅，投标文件递交截止时间后，采购人将在系统内公布供应商名单，然后</w:t>
      </w:r>
      <w:r>
        <w:rPr>
          <w:rFonts w:hint="eastAsia"/>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szCs w:val="22"/>
          <w:highlight w:val="none"/>
        </w:rPr>
      </w:r>
      <w:r/>
    </w:p>
    <w:p>
      <w:pPr>
        <w:pStyle w:val="1142"/>
        <w:spacing w:before="0" w:after="0" w:line="360" w:lineRule="auto"/>
        <w:rPr>
          <w:rFonts w:ascii="Times New Roman" w:hAnsi="Times New Roman" w:eastAsia="宋体"/>
          <w:color w:val="000000"/>
          <w:sz w:val="21"/>
          <w:szCs w:val="21"/>
          <w:highlight w:val="none"/>
        </w:rPr>
      </w:pPr>
      <w:r/>
      <w:bookmarkStart w:id="41" w:name="_Toc5258"/>
      <w:r/>
      <w:bookmarkStart w:id="42" w:name="_Toc25442"/>
      <w:r>
        <w:rPr>
          <w:rFonts w:ascii="Times New Roman" w:hAnsi="Times New Roman" w:eastAsia="宋体"/>
          <w:color w:val="000000"/>
          <w:sz w:val="21"/>
          <w:szCs w:val="21"/>
          <w:highlight w:val="none"/>
        </w:rPr>
        <w:t xml:space="preserve">七、对本次招标提出询问，请按以下方式联系。</w:t>
      </w:r>
      <w:bookmarkEnd w:id="37"/>
      <w:r/>
      <w:bookmarkEnd w:id="38"/>
      <w:r/>
      <w:bookmarkEnd w:id="39"/>
      <w:r/>
      <w:bookmarkEnd w:id="40"/>
      <w:r/>
      <w:bookmarkEnd w:id="41"/>
      <w:r/>
      <w:bookmarkEnd w:id="42"/>
      <w:r>
        <w:rPr>
          <w:rFonts w:ascii="Times New Roman" w:hAnsi="Times New Roman" w:eastAsia="宋体"/>
          <w:color w:val="000000"/>
          <w:sz w:val="21"/>
          <w:szCs w:val="21"/>
          <w:highlight w:val="none"/>
        </w:rPr>
      </w:r>
      <w:r/>
    </w:p>
    <w:p>
      <w:pPr>
        <w:pStyle w:val="1140"/>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140"/>
        <w:ind w:left="1041" w:hanging="262"/>
        <w:jc w:val="left"/>
        <w:spacing w:line="360" w:lineRule="auto"/>
        <w:rPr>
          <w:color w:val="000000"/>
          <w:szCs w:val="21"/>
          <w:highlight w:val="none"/>
        </w:rPr>
      </w:pPr>
      <w:r>
        <w:rPr>
          <w:color w:val="000000"/>
          <w:szCs w:val="21"/>
          <w:highlight w:val="none"/>
        </w:rPr>
        <w:t xml:space="preserve">名 称：江苏大学附属医院</w:t>
      </w:r>
      <w:r>
        <w:rPr>
          <w:color w:val="000000"/>
          <w:szCs w:val="21"/>
          <w:highlight w:val="none"/>
        </w:rPr>
      </w:r>
      <w:r/>
    </w:p>
    <w:p>
      <w:pPr>
        <w:pStyle w:val="1140"/>
        <w:ind w:left="1041" w:hanging="262"/>
        <w:jc w:val="left"/>
        <w:spacing w:line="360" w:lineRule="auto"/>
        <w:rPr>
          <w:color w:val="000000"/>
          <w:szCs w:val="21"/>
          <w:highlight w:val="none"/>
        </w:rPr>
      </w:pPr>
      <w:r>
        <w:rPr>
          <w:color w:val="000000"/>
          <w:szCs w:val="21"/>
          <w:highlight w:val="none"/>
        </w:rPr>
        <w:t xml:space="preserve">地址：江苏省镇江市解放路438号</w:t>
      </w:r>
      <w:r>
        <w:rPr>
          <w:color w:val="000000"/>
          <w:szCs w:val="21"/>
          <w:highlight w:val="none"/>
        </w:rPr>
      </w:r>
      <w:r/>
    </w:p>
    <w:p>
      <w:pPr>
        <w:pStyle w:val="1140"/>
        <w:ind w:left="1041" w:hanging="262"/>
        <w:jc w:val="left"/>
        <w:spacing w:line="360" w:lineRule="auto"/>
        <w:rPr>
          <w:color w:val="000000"/>
          <w:highlight w:val="none"/>
        </w:rPr>
      </w:pPr>
      <w:r>
        <w:rPr>
          <w:color w:val="000000"/>
          <w:szCs w:val="21"/>
          <w:highlight w:val="none"/>
        </w:rPr>
        <w:t xml:space="preserve">联系方式：</w:t>
      </w:r>
      <w:bookmarkStart w:id="43" w:name="_Toc28359009"/>
      <w:r/>
      <w:bookmarkStart w:id="44" w:name="_Toc28359086"/>
      <w:r>
        <w:rPr>
          <w:color w:val="000000"/>
          <w:highlight w:val="none"/>
        </w:rPr>
        <w:t xml:space="preserve">张老师0511-</w:t>
      </w:r>
      <w:r>
        <w:rPr>
          <w:color w:val="000000"/>
          <w:szCs w:val="21"/>
          <w:highlight w:val="none"/>
        </w:rPr>
        <w:t xml:space="preserve">80820337</w:t>
      </w:r>
      <w:r>
        <w:rPr>
          <w:color w:val="000000"/>
          <w:highlight w:val="none"/>
        </w:rPr>
      </w:r>
      <w:r/>
    </w:p>
    <w:p>
      <w:pPr>
        <w:pStyle w:val="1140"/>
        <w:ind w:firstLine="630"/>
        <w:jc w:val="left"/>
        <w:spacing w:line="360" w:lineRule="auto"/>
        <w:rPr>
          <w:color w:val="000000"/>
          <w:szCs w:val="21"/>
          <w:highlight w:val="none"/>
        </w:rPr>
      </w:pPr>
      <w:r>
        <w:rPr>
          <w:color w:val="000000"/>
          <w:szCs w:val="21"/>
          <w:highlight w:val="none"/>
        </w:rPr>
        <w:t xml:space="preserve">2.采购代理机构信息</w:t>
      </w:r>
      <w:bookmarkEnd w:id="43"/>
      <w:r/>
      <w:bookmarkEnd w:id="44"/>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联系方式：</w:t>
      </w:r>
      <w:bookmarkStart w:id="45" w:name="_Toc28359010"/>
      <w:r/>
      <w:bookmarkStart w:id="46" w:name="_Toc28359087"/>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朱琳025-84532546、陈晓芳025-84531293</w:t>
      </w:r>
      <w:r>
        <w:rPr>
          <w:color w:val="000000"/>
          <w:szCs w:val="21"/>
          <w:highlight w:val="none"/>
        </w:rPr>
      </w:r>
      <w:r/>
    </w:p>
    <w:p>
      <w:pPr>
        <w:pStyle w:val="1140"/>
        <w:ind w:firstLine="630"/>
        <w:spacing w:line="360" w:lineRule="auto"/>
        <w:rPr>
          <w:color w:val="000000"/>
          <w:szCs w:val="21"/>
          <w:highlight w:val="none"/>
          <w:u w:val="single"/>
        </w:rPr>
      </w:pPr>
      <w:r>
        <w:rPr>
          <w:color w:val="000000"/>
          <w:szCs w:val="21"/>
          <w:highlight w:val="none"/>
        </w:rPr>
        <w:t xml:space="preserve">3.项目联系方式</w:t>
      </w:r>
      <w:bookmarkEnd w:id="45"/>
      <w:r/>
      <w:bookmarkEnd w:id="46"/>
      <w:r>
        <w:rPr>
          <w:color w:val="000000"/>
          <w:szCs w:val="21"/>
          <w:highlight w:val="none"/>
          <w:u w:val="single"/>
        </w:rPr>
      </w:r>
      <w:r/>
    </w:p>
    <w:p>
      <w:pPr>
        <w:pStyle w:val="1163"/>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140"/>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1156"/>
        <w:rPr>
          <w:rFonts w:ascii="Times New Roman"/>
          <w:color w:val="000000"/>
          <w:szCs w:val="21"/>
          <w:highlight w:val="none"/>
        </w:rPr>
      </w:pPr>
      <w:r>
        <w:rPr>
          <w:rFonts w:ascii="Times New Roman"/>
          <w:color w:val="000000"/>
          <w:szCs w:val="21"/>
          <w:highlight w:val="none"/>
        </w:rPr>
      </w:r>
      <w:r/>
    </w:p>
    <w:p>
      <w:pPr>
        <w:pStyle w:val="1140"/>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1140"/>
        <w:jc w:val="center"/>
        <w:spacing w:line="440" w:lineRule="exact"/>
        <w:rPr>
          <w:b/>
          <w:color w:val="000000"/>
          <w:sz w:val="28"/>
          <w:szCs w:val="28"/>
          <w:highlight w:val="none"/>
        </w:rPr>
        <w:outlineLvl w:val="0"/>
      </w:pPr>
      <w:r/>
      <w:bookmarkStart w:id="47" w:name="_Toc4696385"/>
      <w:r/>
      <w:bookmarkStart w:id="48" w:name="_Toc28996"/>
      <w:r/>
      <w:bookmarkStart w:id="49" w:name="_Toc9358"/>
      <w:r>
        <w:rPr>
          <w:b/>
          <w:color w:val="000000"/>
          <w:sz w:val="28"/>
          <w:szCs w:val="28"/>
          <w:highlight w:val="none"/>
        </w:rPr>
        <w:t xml:space="preserve">第二章 投标人须知</w:t>
      </w:r>
      <w:bookmarkEnd w:id="47"/>
      <w:r/>
      <w:bookmarkEnd w:id="48"/>
      <w:r/>
      <w:bookmarkEnd w:id="49"/>
      <w:r>
        <w:rPr>
          <w:b/>
          <w:color w:val="000000"/>
          <w:sz w:val="28"/>
          <w:szCs w:val="28"/>
          <w:highlight w:val="none"/>
        </w:rPr>
      </w:r>
      <w:r/>
    </w:p>
    <w:p>
      <w:pPr>
        <w:pStyle w:val="1140"/>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118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采购人：江苏大学附属医院</w:t>
            </w:r>
            <w:r>
              <w:rPr>
                <w:rFonts w:ascii="Times New Roman" w:hAnsi="Times New Roman" w:eastAsia="宋体"/>
                <w:color w:val="000000"/>
                <w:sz w:val="21"/>
                <w:szCs w:val="21"/>
                <w:highlight w:val="none"/>
              </w:rPr>
            </w:r>
            <w:r/>
          </w:p>
          <w:p>
            <w:pPr>
              <w:pStyle w:val="118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联系人：张老师0511-80820337</w:t>
            </w:r>
            <w:r>
              <w:rPr>
                <w:rFonts w:ascii="Times New Roman" w:hAnsi="Times New Roman" w:eastAsia="宋体"/>
                <w:color w:val="000000"/>
                <w:sz w:val="21"/>
                <w:szCs w:val="21"/>
                <w:highlight w:val="none"/>
              </w:rPr>
            </w:r>
            <w:r/>
          </w:p>
          <w:p>
            <w:pPr>
              <w:pStyle w:val="1182"/>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联系地址：江苏省镇江市解放路438号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1140"/>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1140"/>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联系人：朱琳025-84532546、陈晓芳025-84531293</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rFonts w:hint="eastAsia" w:eastAsia="宋体"/>
                <w:color w:val="000000"/>
                <w:szCs w:val="21"/>
                <w:highlight w:val="none"/>
                <w:lang w:eastAsia="zh-CN"/>
              </w:rPr>
            </w:pPr>
            <w:r>
              <w:rPr>
                <w:color w:val="000000"/>
                <w:szCs w:val="21"/>
                <w:highlight w:val="none"/>
              </w:rPr>
              <w:t xml:space="preserve">项目名称：</w:t>
            </w:r>
            <w:r>
              <w:rPr>
                <w:rFonts w:hint="eastAsia"/>
                <w:color w:val="000000"/>
                <w:szCs w:val="21"/>
                <w:highlight w:val="none"/>
                <w:lang w:eastAsia="zh-CN"/>
              </w:rPr>
              <w:t xml:space="preserve">江苏大学附属医院血液透析机</w:t>
            </w:r>
            <w:r>
              <w:rPr>
                <w:rFonts w:hint="eastAsia" w:eastAsia="宋体"/>
                <w:color w:val="000000"/>
                <w:szCs w:val="21"/>
                <w:highlight w:val="none"/>
                <w:lang w:eastAsia="zh-CN"/>
              </w:rPr>
            </w:r>
            <w:r/>
          </w:p>
          <w:p>
            <w:pPr>
              <w:pStyle w:val="1140"/>
              <w:spacing w:line="440" w:lineRule="exact"/>
              <w:shd w:val="clear" w:color="auto" w:fill="ffffff"/>
              <w:widowControl/>
              <w:rPr>
                <w:rFonts w:hint="eastAsia"/>
                <w:b/>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JSZC-320000-SMDY-G2026-0051</w:t>
            </w:r>
            <w:r>
              <w:rPr>
                <w:rFonts w:hint="eastAsia"/>
                <w:color w:val="000000"/>
                <w:szCs w:val="21"/>
                <w:highlight w:val="none"/>
                <w:lang w:eastAsia="zh-CN"/>
              </w:rPr>
              <w:t xml:space="preserve">（2640SUMEC/XMGG4042）</w:t>
            </w:r>
            <w:r>
              <w:rPr>
                <w:rFonts w:hint="eastAsia"/>
                <w:b/>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7</w:t>
            </w:r>
            <w:r>
              <w:rPr>
                <w:rFonts w:hint="eastAsia"/>
                <w:b/>
                <w:color w:val="000000"/>
                <w:szCs w:val="21"/>
                <w:highlight w:val="none"/>
              </w:rPr>
            </w:r>
            <w:r/>
          </w:p>
        </w:tc>
        <w:tc>
          <w:tcPr>
            <w:tcW w:w="8928" w:type="dxa"/>
            <w:vAlign w:val="center"/>
            <w:textDirection w:val="lrTb"/>
            <w:noWrap w:val="false"/>
          </w:tcPr>
          <w:p>
            <w:pPr>
              <w:pStyle w:val="1140"/>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8</w:t>
            </w:r>
            <w:r>
              <w:rPr>
                <w:rFonts w:hint="eastAsia"/>
                <w:b/>
                <w:color w:val="000000"/>
                <w:szCs w:val="21"/>
                <w:highlight w:val="none"/>
              </w:rPr>
            </w:r>
            <w:r/>
          </w:p>
        </w:tc>
        <w:tc>
          <w:tcPr>
            <w:tcW w:w="8928" w:type="dxa"/>
            <w:vAlign w:val="center"/>
            <w:textDirection w:val="lrTb"/>
            <w:noWrap w:val="false"/>
          </w:tcPr>
          <w:p>
            <w:pPr>
              <w:pStyle w:val="1140"/>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1140"/>
              <w:spacing w:line="460" w:lineRule="exact"/>
              <w:rPr>
                <w:color w:val="000000"/>
                <w:szCs w:val="21"/>
                <w:highlight w:val="none"/>
              </w:rPr>
            </w:pPr>
            <w:r>
              <w:rPr>
                <w:color w:val="000000"/>
                <w:highlight w:val="none"/>
              </w:rPr>
              <w:t xml:space="preserve">所有投标响应均以</w:t>
            </w:r>
            <w:r>
              <w:rPr>
                <w:b/>
                <w:color w:val="000000"/>
                <w:highlight w:val="none"/>
              </w:rPr>
              <w:t xml:space="preserve">人民币报价</w:t>
            </w:r>
            <w:r>
              <w:rPr>
                <w:color w:val="000000"/>
                <w:highlight w:val="none"/>
              </w:rPr>
              <w:t xml:space="preserve">。供应商的投标响应报价应遵守“中华人民共和国价格法”。该报价为到江苏大学附属医院现场的全部费用，含相关税费，运输费，保险费，</w:t>
            </w:r>
            <w:r>
              <w:rPr>
                <w:rFonts w:hint="eastAsia"/>
                <w:color w:val="000000"/>
                <w:highlight w:val="none"/>
              </w:rPr>
              <w:t xml:space="preserve">拆除、</w:t>
            </w:r>
            <w:r>
              <w:rPr>
                <w:color w:val="000000"/>
                <w:highlight w:val="none"/>
              </w:rPr>
              <w:t xml:space="preserve">安装费及相关服务费等一切可能发生的费用。</w:t>
            </w:r>
            <w:r>
              <w:rPr>
                <w:color w:val="000000"/>
                <w:szCs w:val="21"/>
                <w:highlight w:val="none"/>
              </w:rPr>
            </w:r>
            <w:r/>
          </w:p>
        </w:tc>
      </w:tr>
      <w:tr>
        <w:trPr>
          <w:trHeight w:val="1179"/>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9</w:t>
            </w:r>
            <w:r>
              <w:rPr>
                <w:rFonts w:hint="eastAsia"/>
                <w:b/>
                <w:color w:val="000000"/>
                <w:szCs w:val="21"/>
                <w:highlight w:val="none"/>
              </w:rPr>
            </w:r>
            <w:r/>
          </w:p>
        </w:tc>
        <w:tc>
          <w:tcPr>
            <w:tcW w:w="8928" w:type="dxa"/>
            <w:vAlign w:val="center"/>
            <w:textDirection w:val="lrTb"/>
            <w:noWrap w:val="false"/>
          </w:tcPr>
          <w:p>
            <w:pPr>
              <w:pStyle w:val="1182"/>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1140"/>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1</w:t>
            </w:r>
            <w:r>
              <w:rPr>
                <w:rFonts w:hint="eastAsia"/>
                <w:color w:val="000000"/>
                <w:szCs w:val="21"/>
                <w:highlight w:val="none"/>
              </w:rPr>
            </w:r>
            <w:r/>
          </w:p>
        </w:tc>
        <w:tc>
          <w:tcPr>
            <w:tcW w:w="8928" w:type="dxa"/>
            <w:vAlign w:val="center"/>
            <w:textDirection w:val="lrTb"/>
            <w:noWrap w:val="false"/>
          </w:tcPr>
          <w:p>
            <w:pPr>
              <w:pStyle w:val="1140"/>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1140"/>
              <w:jc w:val="left"/>
              <w:spacing w:line="440" w:lineRule="exact"/>
              <w:rPr>
                <w:b/>
                <w:bCs/>
                <w:color w:val="000000"/>
                <w:highlight w:val="none"/>
              </w:rPr>
            </w:pPr>
            <w:r>
              <w:rPr>
                <w:b/>
                <w:bCs/>
                <w:color w:val="000000"/>
                <w:highlight w:val="none"/>
              </w:rPr>
              <w:t xml:space="preserve">本项目为单一产品采购项目</w:t>
            </w:r>
            <w:r>
              <w:rPr>
                <w:rFonts w:hint="eastAsia"/>
                <w:b/>
                <w:bCs/>
                <w:color w:val="000000"/>
                <w:highlight w:val="none"/>
              </w:rPr>
              <w:t xml:space="preserve">，故不设置核心产品。</w:t>
            </w:r>
            <w:r>
              <w:rPr>
                <w:b/>
                <w:bCs/>
                <w:color w:val="000000"/>
                <w:highlight w:val="none"/>
              </w:rPr>
            </w:r>
            <w:r/>
          </w:p>
          <w:p>
            <w:pPr>
              <w:pStyle w:val="1140"/>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2</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1140"/>
              <w:jc w:val="center"/>
              <w:spacing w:line="360" w:lineRule="auto"/>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3</w:t>
            </w:r>
            <w:r>
              <w:rPr>
                <w:rFonts w:hint="eastAsia"/>
                <w:color w:val="000000"/>
                <w:szCs w:val="21"/>
                <w:highlight w:val="none"/>
              </w:rPr>
            </w:r>
            <w:r/>
          </w:p>
        </w:tc>
        <w:tc>
          <w:tcPr>
            <w:tcW w:w="8928" w:type="dxa"/>
            <w:vAlign w:val="center"/>
            <w:textDirection w:val="lrTb"/>
            <w:noWrap w:val="false"/>
          </w:tcPr>
          <w:p>
            <w:pPr>
              <w:pStyle w:val="1140"/>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bCs/>
                <w:color w:val="000000"/>
                <w:highlight w:val="none"/>
              </w:rPr>
              <w:t xml:space="preserve">中标服务费采用差额定率累进计费方式。合同签订后一周内，中标人按照国家发改委“发改价格发改价格【2011】534号”文件中规定的招标代理服务收费标准的4</w:t>
            </w:r>
            <w:r>
              <w:rPr>
                <w:rFonts w:hint="eastAsia"/>
                <w:bCs/>
                <w:color w:val="000000"/>
                <w:highlight w:val="none"/>
              </w:rPr>
              <w:t xml:space="preserve">5</w:t>
            </w:r>
            <w:r>
              <w:rPr>
                <w:bCs/>
                <w:color w:val="000000"/>
                <w:highlight w:val="none"/>
              </w:rPr>
              <w:t xml:space="preserve">%（单个项目的招标代理服务费最高不超过￥2.54万元（贰万伍仟肆佰圆整）、最低为￥2500.0元（贰仟伍佰圆整））向采购代理机构交付每包的招标代理服务费，招标代理服务费一次付清。</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1140"/>
              <w:jc w:val="center"/>
              <w:keepLines/>
              <w:spacing w:line="440" w:lineRule="exact"/>
              <w:shd w:val="clear" w:color="auto" w:fill="ffffff"/>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4</w:t>
            </w:r>
            <w:r>
              <w:rPr>
                <w:rFonts w:hint="eastAsia"/>
                <w:color w:val="000000"/>
                <w:szCs w:val="21"/>
                <w:highlight w:val="none"/>
              </w:rPr>
            </w:r>
            <w:r/>
          </w:p>
        </w:tc>
        <w:tc>
          <w:tcPr>
            <w:tcW w:w="8928" w:type="dxa"/>
            <w:vAlign w:val="center"/>
            <w:textDirection w:val="lrTb"/>
            <w:noWrap w:val="false"/>
          </w:tcPr>
          <w:p>
            <w:pPr>
              <w:pStyle w:val="1140"/>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1140"/>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5</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1140"/>
        <w:spacing w:line="440" w:lineRule="exact"/>
        <w:shd w:val="clear" w:color="auto" w:fill="ffffff"/>
        <w:widowControl/>
        <w:rPr>
          <w:color w:val="000000"/>
          <w:sz w:val="24"/>
          <w:highlight w:val="none"/>
        </w:rPr>
        <w:outlineLvl w:val="1"/>
      </w:pPr>
      <w:r/>
      <w:bookmarkStart w:id="50" w:name="_Toc4696386"/>
      <w:r/>
      <w:bookmarkStart w:id="51" w:name="_Toc19726"/>
      <w:r>
        <w:rPr>
          <w:b/>
          <w:bCs/>
          <w:color w:val="000000"/>
          <w:sz w:val="24"/>
          <w:highlight w:val="none"/>
        </w:rPr>
        <w:t xml:space="preserve"> </w:t>
      </w:r>
      <w:bookmarkStart w:id="52" w:name="_Toc11362"/>
      <w:r>
        <w:rPr>
          <w:b/>
          <w:bCs/>
          <w:color w:val="000000"/>
          <w:sz w:val="24"/>
          <w:highlight w:val="none"/>
        </w:rPr>
        <w:t xml:space="preserve">一、总 则</w:t>
      </w:r>
      <w:bookmarkEnd w:id="50"/>
      <w:r/>
      <w:bookmarkEnd w:id="51"/>
      <w:r/>
      <w:bookmarkEnd w:id="52"/>
      <w:r>
        <w:rPr>
          <w:color w:val="000000"/>
          <w:sz w:val="24"/>
          <w:highlight w:val="none"/>
        </w:rPr>
      </w:r>
      <w:r/>
    </w:p>
    <w:p>
      <w:pPr>
        <w:pStyle w:val="1140"/>
        <w:ind w:firstLine="420"/>
        <w:spacing w:line="360" w:lineRule="auto"/>
        <w:rPr>
          <w:b/>
          <w:color w:val="000000"/>
          <w:szCs w:val="21"/>
          <w:highlight w:val="none"/>
          <w:lang w:val="zh-CN"/>
        </w:rPr>
        <w:outlineLvl w:val="2"/>
      </w:pPr>
      <w:r/>
      <w:bookmarkStart w:id="53" w:name="_Toc3951"/>
      <w:r/>
      <w:bookmarkStart w:id="54" w:name="_Toc4696387"/>
      <w:r/>
      <w:bookmarkStart w:id="55" w:name="_Toc142"/>
      <w:r/>
      <w:bookmarkStart w:id="56" w:name="_Toc24947"/>
      <w:r/>
      <w:bookmarkStart w:id="57" w:name="_Toc513029204"/>
      <w:r/>
      <w:bookmarkStart w:id="58" w:name="_Toc458694821"/>
      <w:r/>
      <w:bookmarkStart w:id="59" w:name="_Toc16938520"/>
      <w:r/>
      <w:bookmarkStart w:id="60" w:name="_Toc20823276"/>
      <w:r>
        <w:rPr>
          <w:b/>
          <w:bCs/>
          <w:color w:val="000000"/>
          <w:szCs w:val="21"/>
          <w:highlight w:val="none"/>
          <w:lang w:val="zh-CN"/>
        </w:rPr>
        <w:t xml:space="preserve">1.</w:t>
      </w:r>
      <w:r>
        <w:rPr>
          <w:b/>
          <w:color w:val="000000"/>
          <w:szCs w:val="21"/>
          <w:highlight w:val="none"/>
          <w:lang w:val="zh-CN"/>
        </w:rPr>
        <w:t xml:space="preserve">适用法律</w:t>
      </w:r>
      <w:bookmarkEnd w:id="53"/>
      <w:r/>
      <w:bookmarkEnd w:id="54"/>
      <w:r/>
      <w:bookmarkEnd w:id="55"/>
      <w:r>
        <w:rPr>
          <w:b/>
          <w:color w:val="000000"/>
          <w:szCs w:val="21"/>
          <w:highlight w:val="none"/>
          <w:lang w:val="zh-CN"/>
        </w:rPr>
      </w:r>
      <w:r/>
    </w:p>
    <w:p>
      <w:pPr>
        <w:pStyle w:val="1140"/>
        <w:ind w:firstLine="420"/>
        <w:spacing w:line="360" w:lineRule="auto"/>
        <w:rPr>
          <w:color w:val="000000"/>
          <w:szCs w:val="21"/>
          <w:highlight w:val="none"/>
          <w:lang w:val="zh-CN"/>
        </w:rPr>
      </w:pPr>
      <w:r>
        <w:rPr>
          <w:color w:val="000000"/>
          <w:szCs w:val="21"/>
          <w:highlight w:val="none"/>
          <w:lang w:val="zh-CN"/>
        </w:rPr>
        <w:t xml:space="preserve">1.1 </w:t>
      </w:r>
      <w:r>
        <w:rPr>
          <w:color w:val="000000"/>
          <w:szCs w:val="21"/>
          <w:highlight w:val="none"/>
        </w:rPr>
        <w:t xml:space="preserve">《中华人民共和国招标投标法》</w:t>
      </w:r>
      <w:r>
        <w:rPr>
          <w:color w:val="000000"/>
          <w:szCs w:val="21"/>
          <w:highlight w:val="none"/>
          <w:lang w:val="zh-CN"/>
        </w:rPr>
        <w:t xml:space="preserve">《中华人民共和国政府采购法》《中华人民共和国政府采购法实施条例》《政府采购货物和服务招标投标管理办法》等有关法律、规章和规定等。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1140"/>
        <w:ind w:firstLine="420"/>
        <w:spacing w:line="360" w:lineRule="auto"/>
        <w:rPr>
          <w:b/>
          <w:color w:val="000000"/>
          <w:szCs w:val="21"/>
          <w:highlight w:val="none"/>
          <w:lang w:val="zh-CN"/>
        </w:rPr>
        <w:outlineLvl w:val="2"/>
      </w:pPr>
      <w:r/>
      <w:bookmarkStart w:id="61" w:name="_Toc4696388"/>
      <w:r/>
      <w:bookmarkStart w:id="62" w:name="_Toc10994"/>
      <w:r/>
      <w:bookmarkStart w:id="63" w:name="_Toc6144"/>
      <w:r>
        <w:rPr>
          <w:b/>
          <w:bCs/>
          <w:color w:val="000000"/>
          <w:szCs w:val="21"/>
          <w:highlight w:val="none"/>
          <w:lang w:val="zh-CN"/>
        </w:rPr>
        <w:t xml:space="preserve">2.</w:t>
      </w:r>
      <w:r>
        <w:rPr>
          <w:b/>
          <w:color w:val="000000"/>
          <w:szCs w:val="21"/>
          <w:highlight w:val="none"/>
          <w:lang w:val="zh-CN"/>
        </w:rPr>
        <w:t xml:space="preserve">定义</w:t>
      </w:r>
      <w:bookmarkEnd w:id="61"/>
      <w:r/>
      <w:bookmarkEnd w:id="62"/>
      <w:r/>
      <w:bookmarkEnd w:id="63"/>
      <w:r>
        <w:rPr>
          <w:b/>
          <w:color w:val="000000"/>
          <w:szCs w:val="21"/>
          <w:highlight w:val="none"/>
          <w:lang w:val="zh-CN"/>
        </w:rPr>
      </w:r>
      <w:r/>
    </w:p>
    <w:p>
      <w:pPr>
        <w:pStyle w:val="1140"/>
        <w:ind w:firstLine="420"/>
        <w:spacing w:line="440" w:lineRule="exact"/>
        <w:rPr>
          <w:bCs/>
          <w:color w:val="000000"/>
          <w:highlight w:val="none"/>
        </w:rPr>
      </w:pPr>
      <w:r/>
      <w:bookmarkEnd w:id="56"/>
      <w:r/>
      <w:bookmarkEnd w:id="57"/>
      <w:r/>
      <w:bookmarkEnd w:id="58"/>
      <w:r/>
      <w:bookmarkEnd w:id="59"/>
      <w:r/>
      <w:bookmarkEnd w:id="60"/>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江苏大学附属医院</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1140"/>
        <w:ind w:firstLine="422"/>
        <w:spacing w:line="360" w:lineRule="auto"/>
        <w:rPr>
          <w:b/>
          <w:color w:val="000000"/>
          <w:highlight w:val="none"/>
        </w:rPr>
        <w:outlineLvl w:val="2"/>
      </w:pPr>
      <w:r/>
      <w:bookmarkStart w:id="64" w:name="_Toc20730"/>
      <w:r>
        <w:rPr>
          <w:b/>
          <w:color w:val="000000"/>
          <w:highlight w:val="none"/>
        </w:rPr>
        <w:t xml:space="preserve">3.政策功能</w:t>
      </w:r>
      <w:bookmarkEnd w:id="64"/>
      <w:r>
        <w:rPr>
          <w:b/>
          <w:color w:val="000000"/>
          <w:highlight w:val="none"/>
        </w:rPr>
      </w:r>
      <w:r/>
    </w:p>
    <w:p>
      <w:pPr>
        <w:pStyle w:val="1140"/>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1140"/>
        <w:ind w:firstLine="420"/>
        <w:spacing w:line="440" w:lineRule="exact"/>
        <w:rPr>
          <w:color w:val="000000"/>
          <w:szCs w:val="21"/>
          <w:highlight w:val="none"/>
          <w:lang w:val="zh-CN"/>
        </w:rPr>
      </w:pPr>
      <w:r>
        <w:rPr>
          <w:rFonts w:hint="eastAsia"/>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1140"/>
        <w:ind w:firstLine="420"/>
        <w:spacing w:line="360" w:lineRule="auto"/>
        <w:rPr>
          <w:bCs/>
          <w:color w:val="000000"/>
          <w:highlight w:val="none"/>
        </w:rPr>
      </w:pPr>
      <w:r>
        <w:rPr>
          <w:color w:val="000000"/>
          <w:szCs w:val="21"/>
          <w:highlight w:val="none"/>
          <w:lang w:val="zh-CN"/>
        </w:rPr>
        <w:t xml:space="preserve">具体内容</w:t>
      </w:r>
      <w:r>
        <w:rPr>
          <w:rFonts w:hint="eastAsia"/>
          <w:color w:val="000000"/>
          <w:szCs w:val="21"/>
          <w:highlight w:val="none"/>
          <w:lang w:val="zh-CN"/>
        </w:rPr>
        <w:t xml:space="preserve">详见第三章 评标标准。</w:t>
      </w:r>
      <w:r>
        <w:rPr>
          <w:bCs/>
          <w:color w:val="000000"/>
          <w:highlight w:val="none"/>
        </w:rPr>
      </w:r>
      <w:r/>
    </w:p>
    <w:p>
      <w:pPr>
        <w:pStyle w:val="1140"/>
        <w:ind w:firstLine="420"/>
        <w:spacing w:line="360" w:lineRule="auto"/>
        <w:rPr>
          <w:b/>
          <w:color w:val="000000"/>
          <w:szCs w:val="21"/>
          <w:highlight w:val="none"/>
          <w:lang w:val="zh-CN"/>
        </w:rPr>
        <w:outlineLvl w:val="2"/>
      </w:pPr>
      <w:r/>
      <w:bookmarkStart w:id="65" w:name="_Toc4696390"/>
      <w:r/>
      <w:bookmarkStart w:id="66" w:name="_Toc4759"/>
      <w:r/>
      <w:bookmarkStart w:id="67" w:name="_Toc17711"/>
      <w:r/>
      <w:bookmarkStart w:id="68" w:name="_Toc462564067"/>
      <w:r/>
      <w:bookmarkStart w:id="69" w:name="_Toc16938523"/>
      <w:r/>
      <w:bookmarkStart w:id="70" w:name="_Toc20823279"/>
      <w:r/>
      <w:bookmarkStart w:id="71" w:name="_Toc513029207"/>
      <w:r/>
      <w:bookmarkStart w:id="72" w:name="_Toc13963"/>
      <w:r>
        <w:rPr>
          <w:b/>
          <w:bCs/>
          <w:color w:val="000000"/>
          <w:szCs w:val="21"/>
          <w:highlight w:val="none"/>
          <w:lang w:val="zh-CN"/>
        </w:rPr>
        <w:t xml:space="preserve">4.</w:t>
      </w:r>
      <w:r>
        <w:rPr>
          <w:b/>
          <w:color w:val="000000"/>
          <w:szCs w:val="21"/>
          <w:highlight w:val="none"/>
          <w:lang w:val="zh-CN"/>
        </w:rPr>
        <w:t xml:space="preserve">投标费用</w:t>
      </w:r>
      <w:bookmarkEnd w:id="65"/>
      <w:r/>
      <w:bookmarkEnd w:id="66"/>
      <w:r/>
      <w:bookmarkEnd w:id="67"/>
      <w:r/>
      <w:bookmarkEnd w:id="68"/>
      <w:r/>
      <w:bookmarkEnd w:id="69"/>
      <w:r/>
      <w:bookmarkEnd w:id="70"/>
      <w:r/>
      <w:bookmarkEnd w:id="71"/>
      <w:r/>
      <w:bookmarkEnd w:id="72"/>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140"/>
        <w:ind w:firstLine="420"/>
        <w:spacing w:line="360" w:lineRule="auto"/>
        <w:rPr>
          <w:b/>
          <w:color w:val="000000"/>
          <w:szCs w:val="21"/>
          <w:highlight w:val="none"/>
          <w:lang w:val="zh-CN"/>
        </w:rPr>
        <w:outlineLvl w:val="2"/>
      </w:pPr>
      <w:r/>
      <w:bookmarkStart w:id="73" w:name="_Toc4696391"/>
      <w:r/>
      <w:bookmarkStart w:id="74" w:name="_Toc344"/>
      <w:r/>
      <w:bookmarkStart w:id="75" w:name="_Toc26894"/>
      <w:r>
        <w:rPr>
          <w:b/>
          <w:bCs/>
          <w:color w:val="000000"/>
          <w:szCs w:val="21"/>
          <w:highlight w:val="none"/>
          <w:lang w:val="zh-CN"/>
        </w:rPr>
        <w:t xml:space="preserve">5.</w:t>
      </w:r>
      <w:r>
        <w:rPr>
          <w:b/>
          <w:color w:val="000000"/>
          <w:szCs w:val="21"/>
          <w:highlight w:val="none"/>
          <w:lang w:val="zh-CN"/>
        </w:rPr>
        <w:t xml:space="preserve">招标文件的约束力</w:t>
      </w:r>
      <w:bookmarkEnd w:id="73"/>
      <w:r/>
      <w:bookmarkEnd w:id="74"/>
      <w:r/>
      <w:bookmarkEnd w:id="75"/>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140"/>
        <w:ind w:firstLine="420"/>
        <w:spacing w:line="440" w:lineRule="exact"/>
        <w:shd w:val="clear" w:color="auto" w:fill="ffffff"/>
        <w:widowControl/>
        <w:rPr>
          <w:b/>
          <w:bCs/>
          <w:color w:val="000000"/>
          <w:sz w:val="24"/>
          <w:highlight w:val="none"/>
        </w:rPr>
        <w:outlineLvl w:val="1"/>
      </w:pPr>
      <w:r/>
      <w:bookmarkStart w:id="76" w:name="_Toc120614215"/>
      <w:r/>
      <w:bookmarkStart w:id="77" w:name="_Toc513029209"/>
      <w:r/>
      <w:bookmarkStart w:id="78" w:name="_Toc20823281"/>
      <w:r/>
      <w:bookmarkStart w:id="79" w:name="_Toc16938525"/>
      <w:r/>
      <w:bookmarkStart w:id="80" w:name="_Toc15035"/>
      <w:r/>
      <w:bookmarkStart w:id="81" w:name="_Toc4696392"/>
      <w:r/>
      <w:bookmarkStart w:id="82" w:name="_Toc10702"/>
      <w:r>
        <w:rPr>
          <w:b/>
          <w:bCs/>
          <w:color w:val="000000"/>
          <w:sz w:val="24"/>
          <w:highlight w:val="none"/>
        </w:rPr>
        <w:t xml:space="preserve">二、招标文件</w:t>
      </w:r>
      <w:bookmarkEnd w:id="76"/>
      <w:r/>
      <w:bookmarkEnd w:id="77"/>
      <w:r/>
      <w:bookmarkEnd w:id="78"/>
      <w:r/>
      <w:bookmarkEnd w:id="79"/>
      <w:r/>
      <w:bookmarkEnd w:id="80"/>
      <w:r/>
      <w:bookmarkEnd w:id="81"/>
      <w:r/>
      <w:bookmarkEnd w:id="82"/>
      <w:r>
        <w:rPr>
          <w:b/>
          <w:bCs/>
          <w:color w:val="000000"/>
          <w:sz w:val="24"/>
          <w:highlight w:val="none"/>
        </w:rPr>
      </w:r>
      <w:r/>
    </w:p>
    <w:p>
      <w:pPr>
        <w:pStyle w:val="1140"/>
        <w:ind w:firstLine="420"/>
        <w:spacing w:line="360" w:lineRule="auto"/>
        <w:rPr>
          <w:b/>
          <w:color w:val="000000"/>
          <w:szCs w:val="21"/>
          <w:highlight w:val="none"/>
          <w:lang w:val="zh-CN"/>
        </w:rPr>
        <w:outlineLvl w:val="2"/>
      </w:pPr>
      <w:r/>
      <w:bookmarkStart w:id="83" w:name="_Toc513029210"/>
      <w:r/>
      <w:bookmarkStart w:id="84" w:name="_Toc4696393"/>
      <w:r/>
      <w:bookmarkStart w:id="85" w:name="_Toc20823282"/>
      <w:r/>
      <w:bookmarkStart w:id="86" w:name="_Toc16938526"/>
      <w:r/>
      <w:bookmarkStart w:id="87" w:name="_Toc31631"/>
      <w:r/>
      <w:bookmarkStart w:id="88" w:name="_Toc6372"/>
      <w:r>
        <w:rPr>
          <w:b/>
          <w:bCs/>
          <w:color w:val="000000"/>
          <w:szCs w:val="21"/>
          <w:highlight w:val="none"/>
          <w:lang w:val="zh-CN"/>
        </w:rPr>
        <w:t xml:space="preserve">6.</w:t>
      </w:r>
      <w:r>
        <w:rPr>
          <w:b/>
          <w:color w:val="000000"/>
          <w:szCs w:val="21"/>
          <w:highlight w:val="none"/>
          <w:lang w:val="zh-CN"/>
        </w:rPr>
        <w:t xml:space="preserve">招标文件构成</w:t>
      </w:r>
      <w:bookmarkEnd w:id="83"/>
      <w:r/>
      <w:bookmarkEnd w:id="84"/>
      <w:r/>
      <w:bookmarkEnd w:id="85"/>
      <w:r/>
      <w:bookmarkEnd w:id="86"/>
      <w:r/>
      <w:bookmarkEnd w:id="87"/>
      <w:r/>
      <w:bookmarkEnd w:id="88"/>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89" w:name="_Toc14415"/>
      <w:r/>
      <w:bookmarkStart w:id="90" w:name="_Toc4696394"/>
      <w:r/>
      <w:bookmarkStart w:id="91" w:name="_Toc18704"/>
      <w:r>
        <w:rPr>
          <w:rFonts w:ascii="Times New Roman" w:eastAsia="宋体"/>
          <w:b/>
          <w:bCs/>
          <w:color w:val="000000"/>
          <w:sz w:val="21"/>
          <w:szCs w:val="21"/>
          <w:highlight w:val="none"/>
        </w:rPr>
        <w:t xml:space="preserve">7.招标文件的澄清、补充或修改</w:t>
      </w:r>
      <w:bookmarkEnd w:id="89"/>
      <w:r/>
      <w:bookmarkEnd w:id="90"/>
      <w:r/>
      <w:bookmarkEnd w:id="91"/>
      <w:r>
        <w:rPr>
          <w:rFonts w:ascii="Times New Roman" w:eastAsia="宋体"/>
          <w:b/>
          <w:bCs/>
          <w:color w:val="000000"/>
          <w:sz w:val="21"/>
          <w:szCs w:val="21"/>
          <w:highlight w:val="none"/>
        </w:rPr>
      </w:r>
      <w:r/>
    </w:p>
    <w:p>
      <w:pPr>
        <w:pStyle w:val="1140"/>
        <w:ind w:firstLine="441"/>
        <w:spacing w:line="440" w:lineRule="exact"/>
        <w:rPr>
          <w:color w:val="000000"/>
          <w:highlight w:val="none"/>
        </w:rPr>
      </w:pPr>
      <w:r/>
      <w:bookmarkStart w:id="92"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1140"/>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1140"/>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1140"/>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1140"/>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93" w:name="_Toc4696395"/>
      <w:r/>
      <w:bookmarkStart w:id="94" w:name="_Toc19439"/>
      <w:r>
        <w:rPr>
          <w:b/>
          <w:bCs/>
          <w:color w:val="000000"/>
          <w:sz w:val="24"/>
          <w:highlight w:val="none"/>
        </w:rPr>
        <w:t xml:space="preserve">三、投标文件的编制</w:t>
      </w:r>
      <w:bookmarkEnd w:id="92"/>
      <w:r/>
      <w:bookmarkEnd w:id="93"/>
      <w:r/>
      <w:bookmarkEnd w:id="94"/>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95" w:name="_Toc28127"/>
      <w:r/>
      <w:bookmarkStart w:id="96" w:name="_Toc4696396"/>
      <w:r/>
      <w:bookmarkStart w:id="97" w:name="_Toc9757"/>
      <w:r>
        <w:rPr>
          <w:rFonts w:ascii="Times New Roman" w:eastAsia="宋体"/>
          <w:b/>
          <w:bCs/>
          <w:color w:val="000000"/>
          <w:sz w:val="21"/>
          <w:szCs w:val="21"/>
          <w:highlight w:val="none"/>
        </w:rPr>
        <w:t xml:space="preserve">8.</w:t>
      </w:r>
      <w:bookmarkEnd w:id="95"/>
      <w:r>
        <w:rPr>
          <w:rFonts w:ascii="Times New Roman" w:eastAsia="宋体"/>
          <w:b/>
          <w:bCs/>
          <w:color w:val="000000"/>
          <w:sz w:val="21"/>
          <w:szCs w:val="21"/>
          <w:highlight w:val="none"/>
        </w:rPr>
        <w:t xml:space="preserve">投标文件的语言、计量单位、货币</w:t>
      </w:r>
      <w:bookmarkEnd w:id="96"/>
      <w:r/>
      <w:bookmarkEnd w:id="97"/>
      <w:r>
        <w:rPr>
          <w:rFonts w:ascii="Times New Roman" w:eastAsia="宋体"/>
          <w:b/>
          <w:bCs/>
          <w:color w:val="000000"/>
          <w:sz w:val="21"/>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140"/>
        <w:ind w:firstLine="420"/>
        <w:spacing w:line="440" w:lineRule="exact"/>
        <w:shd w:val="clear" w:color="auto" w:fill="ffffff"/>
        <w:widowControl/>
        <w:rPr>
          <w:color w:val="000000"/>
          <w:szCs w:val="21"/>
          <w:highlight w:val="none"/>
        </w:rPr>
      </w:pPr>
      <w:r/>
      <w:bookmarkStart w:id="98"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1140"/>
        <w:ind w:firstLine="420"/>
        <w:spacing w:line="360" w:lineRule="auto"/>
        <w:rPr>
          <w:b/>
          <w:color w:val="000000"/>
          <w:szCs w:val="21"/>
          <w:highlight w:val="none"/>
          <w:lang w:val="zh-CN"/>
        </w:rPr>
        <w:outlineLvl w:val="2"/>
      </w:pPr>
      <w:r/>
      <w:bookmarkStart w:id="99" w:name="_Toc30894"/>
      <w:r/>
      <w:bookmarkStart w:id="100" w:name="_Toc4696397"/>
      <w:r/>
      <w:bookmarkStart w:id="101" w:name="_Toc22633"/>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99"/>
      <w:r/>
      <w:bookmarkEnd w:id="100"/>
      <w:r/>
      <w:bookmarkEnd w:id="101"/>
      <w:r>
        <w:rPr>
          <w:b/>
          <w:color w:val="000000"/>
          <w:szCs w:val="21"/>
          <w:highlight w:val="none"/>
          <w:lang w:val="zh-CN"/>
        </w:rPr>
      </w:r>
      <w:r/>
    </w:p>
    <w:p>
      <w:pPr>
        <w:pStyle w:val="1140"/>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1140"/>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1140"/>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1140"/>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1143"/>
        <w:ind w:left="0" w:firstLine="422"/>
        <w:jc w:val="both"/>
        <w:spacing w:line="440" w:lineRule="exact"/>
        <w:tabs>
          <w:tab w:val="left" w:pos="480" w:leader="none"/>
        </w:tabs>
        <w:rPr>
          <w:rFonts w:ascii="Times New Roman" w:eastAsia="宋体"/>
          <w:color w:val="000000"/>
          <w:sz w:val="21"/>
          <w:szCs w:val="21"/>
          <w:highlight w:val="none"/>
        </w:rPr>
      </w:pPr>
      <w:r/>
      <w:bookmarkEnd w:id="98"/>
      <w:r/>
      <w:bookmarkStart w:id="102" w:name="_Toc22790"/>
      <w:r/>
      <w:bookmarkStart w:id="103" w:name="_Toc4696398"/>
      <w:r/>
      <w:bookmarkStart w:id="104" w:name="_Toc882"/>
      <w:r/>
      <w:bookmarkStart w:id="105" w:name="_Toc4696399"/>
      <w:r/>
      <w:bookmarkStart w:id="106" w:name="_Toc12595"/>
      <w:r>
        <w:rPr>
          <w:rFonts w:ascii="Times New Roman" w:eastAsia="宋体"/>
          <w:b/>
          <w:bCs/>
          <w:color w:val="000000"/>
          <w:sz w:val="21"/>
          <w:szCs w:val="21"/>
          <w:highlight w:val="none"/>
        </w:rPr>
        <w:t xml:space="preserve">10.投标文件的</w:t>
      </w:r>
      <w:bookmarkEnd w:id="102"/>
      <w:r>
        <w:rPr>
          <w:rFonts w:ascii="Times New Roman" w:eastAsia="宋体"/>
          <w:b/>
          <w:bCs/>
          <w:color w:val="000000"/>
          <w:sz w:val="21"/>
          <w:szCs w:val="21"/>
          <w:highlight w:val="none"/>
        </w:rPr>
        <w:t xml:space="preserve">组成</w:t>
      </w:r>
      <w:bookmarkEnd w:id="103"/>
      <w:r/>
      <w:bookmarkEnd w:id="104"/>
      <w:r>
        <w:rPr>
          <w:rFonts w:ascii="Times New Roman" w:eastAsia="宋体"/>
          <w:color w:val="000000"/>
          <w:sz w:val="21"/>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07" w:name="_Toc28479"/>
      <w:r>
        <w:rPr>
          <w:rFonts w:ascii="Times New Roman" w:eastAsia="宋体"/>
          <w:b/>
          <w:bCs/>
          <w:color w:val="000000"/>
          <w:sz w:val="21"/>
          <w:szCs w:val="21"/>
          <w:highlight w:val="none"/>
        </w:rPr>
        <w:t xml:space="preserve">11.投标保证金</w:t>
      </w:r>
      <w:bookmarkEnd w:id="105"/>
      <w:r/>
      <w:bookmarkEnd w:id="106"/>
      <w:r/>
      <w:bookmarkEnd w:id="107"/>
      <w:r>
        <w:rPr>
          <w:rFonts w:ascii="Times New Roman" w:eastAsia="宋体"/>
          <w:b/>
          <w:bCs/>
          <w:color w:val="000000"/>
          <w:sz w:val="21"/>
          <w:szCs w:val="21"/>
          <w:highlight w:val="none"/>
        </w:rPr>
      </w:r>
      <w:r/>
    </w:p>
    <w:p>
      <w:pPr>
        <w:pStyle w:val="1140"/>
        <w:ind w:firstLine="420"/>
        <w:spacing w:line="440" w:lineRule="exact"/>
        <w:shd w:val="clear" w:color="auto" w:fill="ffffff"/>
        <w:widowControl/>
        <w:rPr>
          <w:color w:val="000000"/>
          <w:szCs w:val="21"/>
          <w:highlight w:val="none"/>
        </w:rPr>
      </w:pPr>
      <w:r/>
      <w:bookmarkStart w:id="108"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11.2</w:t>
      </w:r>
      <w:r>
        <w:rPr>
          <w:b/>
          <w:bCs/>
          <w:color w:val="000000"/>
          <w:szCs w:val="21"/>
          <w:highlight w:val="none"/>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140"/>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09" w:name="_Toc4696400"/>
      <w:r/>
      <w:bookmarkStart w:id="110" w:name="_Toc3340"/>
      <w:r>
        <w:rPr>
          <w:rFonts w:ascii="Times New Roman" w:eastAsia="宋体"/>
          <w:b/>
          <w:bCs/>
          <w:color w:val="000000"/>
          <w:sz w:val="21"/>
          <w:szCs w:val="21"/>
          <w:highlight w:val="none"/>
        </w:rPr>
        <w:t xml:space="preserve">12.投标文件的有效期</w:t>
      </w:r>
      <w:bookmarkEnd w:id="108"/>
      <w:r/>
      <w:bookmarkEnd w:id="109"/>
      <w:r/>
      <w:bookmarkEnd w:id="110"/>
      <w:r>
        <w:rPr>
          <w:rFonts w:ascii="Times New Roman" w:eastAsia="宋体"/>
          <w:b/>
          <w:bCs/>
          <w:color w:val="000000"/>
          <w:sz w:val="21"/>
          <w:szCs w:val="21"/>
          <w:highlight w:val="none"/>
        </w:rPr>
      </w:r>
      <w:r/>
    </w:p>
    <w:p>
      <w:pPr>
        <w:pStyle w:val="1140"/>
        <w:ind w:firstLine="420"/>
        <w:jc w:val="left"/>
        <w:spacing w:line="440" w:lineRule="exact"/>
        <w:rPr>
          <w:bCs/>
          <w:color w:val="000000"/>
          <w:highlight w:val="none"/>
        </w:rPr>
      </w:pPr>
      <w:r/>
      <w:bookmarkStart w:id="111"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12" w:name="_Toc4696401"/>
      <w:r/>
      <w:bookmarkStart w:id="113" w:name="_Toc22585"/>
      <w:r>
        <w:rPr>
          <w:rFonts w:ascii="Times New Roman" w:eastAsia="宋体"/>
          <w:b/>
          <w:bCs/>
          <w:color w:val="000000"/>
          <w:sz w:val="21"/>
          <w:szCs w:val="21"/>
          <w:highlight w:val="none"/>
        </w:rPr>
        <w:t xml:space="preserve">13.投标文件的签署及其形式</w:t>
      </w:r>
      <w:bookmarkEnd w:id="111"/>
      <w:r/>
      <w:bookmarkEnd w:id="112"/>
      <w:r/>
      <w:bookmarkEnd w:id="113"/>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Start w:id="114" w:name="_Toc27455"/>
      <w:r>
        <w:rPr>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13.2投标文件的正本应用打印机或不褪色墨水书写，且经法定代表人或授权代表签署，副本可以为正本的复印件。</w:t>
      </w:r>
      <w:r>
        <w:rPr>
          <w:color w:val="000000"/>
          <w:sz w:val="24"/>
          <w:highlight w:val="none"/>
        </w:rPr>
        <w:t xml:space="preserve"> </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1140"/>
        <w:ind w:firstLine="420"/>
        <w:spacing w:line="440" w:lineRule="exact"/>
        <w:shd w:val="clear" w:color="auto" w:fill="ffffff"/>
        <w:widowControl/>
        <w:rPr>
          <w:color w:val="000000"/>
          <w:szCs w:val="21"/>
          <w:highlight w:val="none"/>
        </w:rPr>
      </w:pPr>
      <w:r>
        <w:rPr>
          <w:bCs/>
          <w:color w:val="000000"/>
          <w:highlight w:val="none"/>
        </w:rPr>
        <w:t xml:space="preserve">13.4</w:t>
      </w:r>
      <w:r>
        <w:rPr>
          <w:color w:val="000000"/>
          <w:szCs w:val="21"/>
          <w:highlight w:val="none"/>
        </w:rPr>
        <w:t xml:space="preserve">供应商应按照招标文件所规定的内容顺序，</w:t>
      </w:r>
      <w:r>
        <w:rPr>
          <w:b/>
          <w:bCs/>
          <w:color w:val="000000"/>
          <w:szCs w:val="21"/>
          <w:highlight w:val="none"/>
        </w:rPr>
        <w:t xml:space="preserve">统一用A4规格幅面打印（为节约资源，建议双面打印）、装订成册并编制目录，逐页编码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140"/>
        <w:ind w:firstLine="420"/>
        <w:spacing w:line="440" w:lineRule="exact"/>
        <w:shd w:val="clear" w:color="auto" w:fill="ffffff"/>
        <w:widowControl/>
        <w:rPr>
          <w:b/>
          <w:bCs/>
          <w:color w:val="000000"/>
          <w:sz w:val="24"/>
          <w:highlight w:val="none"/>
        </w:rPr>
        <w:outlineLvl w:val="1"/>
      </w:pPr>
      <w:r/>
      <w:bookmarkStart w:id="115" w:name="_Toc4696402"/>
      <w:r/>
      <w:bookmarkStart w:id="116" w:name="_Toc28775"/>
      <w:r>
        <w:rPr>
          <w:b/>
          <w:bCs/>
          <w:color w:val="000000"/>
          <w:sz w:val="24"/>
          <w:highlight w:val="none"/>
        </w:rPr>
        <w:t xml:space="preserve">四、投标文件的递交</w:t>
      </w:r>
      <w:bookmarkEnd w:id="114"/>
      <w:r/>
      <w:bookmarkEnd w:id="115"/>
      <w:r/>
      <w:bookmarkEnd w:id="116"/>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17" w:name="_Toc14201"/>
      <w:r/>
      <w:bookmarkStart w:id="118" w:name="_Toc4696403"/>
      <w:r/>
      <w:bookmarkStart w:id="119" w:name="_Toc17515"/>
      <w:r>
        <w:rPr>
          <w:rFonts w:ascii="Times New Roman" w:eastAsia="宋体"/>
          <w:b/>
          <w:bCs/>
          <w:color w:val="000000"/>
          <w:sz w:val="21"/>
          <w:szCs w:val="21"/>
          <w:highlight w:val="none"/>
        </w:rPr>
        <w:t xml:space="preserve">14.投标文件的密封及标记</w:t>
      </w:r>
      <w:bookmarkEnd w:id="117"/>
      <w:r/>
      <w:bookmarkEnd w:id="118"/>
      <w:r/>
      <w:bookmarkEnd w:id="119"/>
      <w:r>
        <w:rPr>
          <w:rFonts w:ascii="Times New Roman" w:eastAsia="宋体"/>
          <w:b/>
          <w:bCs/>
          <w:color w:val="000000"/>
          <w:sz w:val="21"/>
          <w:szCs w:val="21"/>
          <w:highlight w:val="none"/>
        </w:rPr>
      </w:r>
      <w:r/>
    </w:p>
    <w:p>
      <w:pPr>
        <w:pStyle w:val="1140"/>
        <w:ind w:firstLine="420"/>
        <w:spacing w:line="440" w:lineRule="exact"/>
        <w:rPr>
          <w:b/>
          <w:color w:val="000000"/>
          <w:sz w:val="30"/>
          <w:highlight w:val="none"/>
        </w:rPr>
      </w:pPr>
      <w:r/>
      <w:bookmarkStart w:id="120" w:name="_Toc21766"/>
      <w:r>
        <w:rPr>
          <w:bCs/>
          <w:color w:val="000000"/>
          <w:szCs w:val="22"/>
          <w:highlight w:val="none"/>
        </w:rPr>
        <w:t xml:space="preserve">14.1</w:t>
      </w:r>
      <w:r>
        <w:rPr>
          <w:rFonts w:hint="eastAsia"/>
          <w:bCs/>
          <w:color w:val="000000"/>
          <w:szCs w:val="22"/>
          <w:highlight w:val="none"/>
        </w:rPr>
        <w:t xml:space="preserve">供应商应把正本和副本及电子版投标文件用封套加以密封，标明“正本”和“副本”“电子版”</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1140"/>
        <w:ind w:firstLine="420"/>
        <w:spacing w:line="440" w:lineRule="exact"/>
        <w:rPr>
          <w:bCs/>
          <w:color w:val="000000"/>
          <w:highlight w:val="none"/>
        </w:rPr>
      </w:pPr>
      <w:r>
        <w:rPr>
          <w:bCs/>
          <w:color w:val="000000"/>
          <w:szCs w:val="22"/>
          <w:highlight w:val="none"/>
        </w:rPr>
        <w:t xml:space="preserve">14.2 </w:t>
      </w:r>
      <w:r>
        <w:rPr>
          <w:bCs/>
          <w:color w:val="000000"/>
          <w:highlight w:val="none"/>
        </w:rPr>
        <w:t xml:space="preserve">作为投标保证金的银行本票、转账支票、汇票或电汇底单等非现金形式，另用内封套加以密封，并在内封套上注明“投标保证金”字样,放在投标文件正本封套之内。（如有）</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14.3</w:t>
      </w:r>
      <w:r>
        <w:rPr>
          <w:bCs/>
          <w:color w:val="000000"/>
          <w:highlight w:val="none"/>
        </w:rPr>
        <w:t xml:space="preserve">外封套和内封套上均须按采购代理机构提供的格式写明：</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采购代理机构：江苏苏美达仪器设备有限公司</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采购代理机构地址：南京市长江路198号</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招标文件编号：</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招标项目包号（如有）：第    包</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招标项目名称：</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供应商的全称、地址、电话和传真。</w:t>
      </w:r>
      <w:r>
        <w:rPr>
          <w:bCs/>
          <w:color w:val="000000"/>
          <w:highlight w:val="none"/>
        </w:rPr>
      </w:r>
      <w:r/>
    </w:p>
    <w:p>
      <w:pPr>
        <w:pStyle w:val="1140"/>
        <w:numPr>
          <w:ilvl w:val="0"/>
          <w:numId w:val="3"/>
        </w:numPr>
        <w:ind w:firstLine="420"/>
        <w:spacing w:line="360" w:lineRule="auto"/>
        <w:tabs>
          <w:tab w:val="left" w:pos="600" w:leader="none"/>
          <w:tab w:val="left" w:pos="1025" w:leader="none"/>
        </w:tabs>
        <w:rPr>
          <w:bCs/>
          <w:color w:val="000000"/>
          <w:highlight w:val="none"/>
        </w:rPr>
      </w:pPr>
      <w:r>
        <w:rPr>
          <w:bCs/>
          <w:color w:val="000000"/>
          <w:highlight w:val="none"/>
        </w:rPr>
        <w:t xml:space="preserve">写明开标时启封。</w:t>
      </w:r>
      <w:r>
        <w:rPr>
          <w:bCs/>
          <w:color w:val="000000"/>
          <w:highlight w:val="none"/>
        </w:rPr>
      </w:r>
      <w:r/>
    </w:p>
    <w:p>
      <w:pPr>
        <w:pStyle w:val="1140"/>
        <w:ind w:firstLine="420"/>
        <w:spacing w:line="360" w:lineRule="auto"/>
        <w:rPr>
          <w:bCs/>
          <w:color w:val="000000"/>
          <w:highlight w:val="none"/>
        </w:rPr>
      </w:pPr>
      <w:r>
        <w:rPr>
          <w:bCs/>
          <w:color w:val="000000"/>
          <w:szCs w:val="22"/>
          <w:highlight w:val="none"/>
        </w:rPr>
        <w:t xml:space="preserve">14.4</w:t>
      </w:r>
      <w:r>
        <w:rPr>
          <w:bCs/>
          <w:color w:val="000000"/>
          <w:highlight w:val="none"/>
        </w:rPr>
        <w:t xml:space="preserve">投标文件未按上述规定密封者，采购代理机构对误投或过早启封概不负责。</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21" w:name="_Toc4696404"/>
      <w:r/>
      <w:bookmarkStart w:id="122" w:name="_Toc5547"/>
      <w:r>
        <w:rPr>
          <w:rFonts w:ascii="Times New Roman" w:eastAsia="宋体"/>
          <w:b/>
          <w:bCs/>
          <w:color w:val="000000"/>
          <w:sz w:val="21"/>
          <w:szCs w:val="21"/>
          <w:highlight w:val="none"/>
        </w:rPr>
        <w:t xml:space="preserve">15.投标的截止日期</w:t>
      </w:r>
      <w:bookmarkEnd w:id="120"/>
      <w:r/>
      <w:bookmarkEnd w:id="121"/>
      <w:r/>
      <w:bookmarkEnd w:id="122"/>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Start w:id="123" w:name="_Toc32673"/>
      <w:r>
        <w:rPr>
          <w:bCs/>
          <w:color w:val="000000"/>
          <w:highlight w:val="none"/>
        </w:rPr>
        <w:t xml:space="preserve">15.1投标文件须在采购代理机构规定的投标截止时间前递交到指定地点。</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15.3投标文件由于不可抗力的原因遗失和损坏，采购代理机构不负任何责任。</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23"/>
      <w:r/>
      <w:bookmarkStart w:id="124" w:name="_Toc10963"/>
      <w:r/>
      <w:bookmarkStart w:id="125" w:name="_Toc14422"/>
      <w:r/>
      <w:bookmarkStart w:id="126" w:name="_Toc4696405"/>
      <w:r/>
      <w:bookmarkStart w:id="127" w:name="_Toc4406"/>
      <w:r/>
      <w:bookmarkStart w:id="128" w:name="_Toc6201"/>
      <w:r>
        <w:rPr>
          <w:rFonts w:ascii="Times New Roman" w:eastAsia="宋体"/>
          <w:b/>
          <w:bCs/>
          <w:color w:val="000000"/>
          <w:sz w:val="21"/>
          <w:szCs w:val="21"/>
          <w:highlight w:val="none"/>
        </w:rPr>
        <w:t xml:space="preserve">16.</w:t>
      </w:r>
      <w:bookmarkEnd w:id="124"/>
      <w:r/>
      <w:bookmarkEnd w:id="125"/>
      <w:r>
        <w:rPr>
          <w:rFonts w:ascii="Times New Roman" w:eastAsia="宋体"/>
          <w:b/>
          <w:bCs/>
          <w:color w:val="000000"/>
          <w:sz w:val="21"/>
          <w:szCs w:val="21"/>
          <w:highlight w:val="none"/>
        </w:rPr>
        <w:t xml:space="preserve">迟交的投标文件</w:t>
      </w:r>
      <w:bookmarkEnd w:id="126"/>
      <w:r/>
      <w:bookmarkEnd w:id="127"/>
      <w:r>
        <w:rPr>
          <w:rFonts w:ascii="Times New Roman" w:eastAsia="宋体"/>
          <w:b/>
          <w:bCs/>
          <w:color w:val="000000"/>
          <w:sz w:val="21"/>
          <w:szCs w:val="21"/>
          <w:highlight w:val="none"/>
        </w:rPr>
      </w:r>
      <w:r/>
    </w:p>
    <w:p>
      <w:pPr>
        <w:pStyle w:val="1140"/>
        <w:spacing w:line="440" w:lineRule="exact"/>
        <w:rPr>
          <w:bCs/>
          <w:color w:val="000000"/>
          <w:highlight w:val="none"/>
        </w:rPr>
      </w:pPr>
      <w:r>
        <w:rPr>
          <w:bCs/>
          <w:color w:val="000000"/>
          <w:highlight w:val="none"/>
        </w:rPr>
        <w:t xml:space="preserve">    在投标截止时间以后递交的投标文件，采购代理机构拒绝接收。</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28"/>
      <w:r/>
      <w:bookmarkStart w:id="129" w:name="_Toc4696406"/>
      <w:r/>
      <w:bookmarkStart w:id="130" w:name="_Toc32211"/>
      <w:r/>
      <w:bookmarkStart w:id="131" w:name="_Toc27692"/>
      <w:r/>
      <w:bookmarkStart w:id="132" w:name="_Toc2849"/>
      <w:r/>
      <w:bookmarkStart w:id="133" w:name="_Toc16938545"/>
      <w:r/>
      <w:bookmarkStart w:id="134" w:name="_Toc513029229"/>
      <w:r/>
      <w:bookmarkStart w:id="135" w:name="_Toc20823301"/>
      <w:r/>
      <w:bookmarkStart w:id="136" w:name="_Toc24233"/>
      <w:r/>
      <w:bookmarkStart w:id="137" w:name="_Toc120614218"/>
      <w:r>
        <w:rPr>
          <w:rFonts w:ascii="Times New Roman" w:eastAsia="宋体"/>
          <w:b/>
          <w:bCs/>
          <w:color w:val="000000"/>
          <w:sz w:val="21"/>
          <w:szCs w:val="21"/>
          <w:highlight w:val="none"/>
        </w:rPr>
        <w:t xml:space="preserve">17.投标文件的修改或撤回</w:t>
      </w:r>
      <w:bookmarkEnd w:id="129"/>
      <w:r/>
      <w:bookmarkEnd w:id="130"/>
      <w:r/>
      <w:bookmarkEnd w:id="131"/>
      <w:r/>
      <w:bookmarkEnd w:id="132"/>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17.2供应商的修改或撤回通知必须按第14项的规定并在封套上注明：“修改”或“撤回”字样封送给采购代理机构。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17.3供应商不得在投标截止时间以后修改投标文件。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17.4在投标截止时间起至投标有效期满前，任何投标文件不得撤回，在这段期间撤回投标文件，投标保证金将被没收。该供应商的投标文件不予退还。</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138" w:name="_Toc4696407"/>
      <w:r/>
      <w:bookmarkStart w:id="139" w:name="_Toc26730"/>
      <w:r>
        <w:rPr>
          <w:b/>
          <w:bCs/>
          <w:color w:val="000000"/>
          <w:sz w:val="24"/>
          <w:highlight w:val="none"/>
        </w:rPr>
        <w:t xml:space="preserve">五、开标与评标</w:t>
      </w:r>
      <w:bookmarkEnd w:id="133"/>
      <w:r/>
      <w:bookmarkEnd w:id="134"/>
      <w:r/>
      <w:bookmarkEnd w:id="135"/>
      <w:r/>
      <w:bookmarkEnd w:id="136"/>
      <w:r/>
      <w:bookmarkEnd w:id="137"/>
      <w:r/>
      <w:bookmarkEnd w:id="138"/>
      <w:r/>
      <w:bookmarkEnd w:id="139"/>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40" w:name="_Toc13829"/>
      <w:r/>
      <w:bookmarkStart w:id="141" w:name="_Toc3679"/>
      <w:r/>
      <w:bookmarkStart w:id="142" w:name="_Toc15345"/>
      <w:r/>
      <w:bookmarkStart w:id="143" w:name="_Toc4696408"/>
      <w:r/>
      <w:bookmarkStart w:id="144" w:name="_Toc32096"/>
      <w:r/>
      <w:bookmarkStart w:id="145" w:name="OLE_LINK3"/>
      <w:r/>
      <w:bookmarkStart w:id="146" w:name="OLE_LINK7"/>
      <w:r/>
      <w:bookmarkStart w:id="147" w:name="_Toc6944"/>
      <w:r>
        <w:rPr>
          <w:rFonts w:ascii="Times New Roman" w:eastAsia="宋体"/>
          <w:b/>
          <w:bCs/>
          <w:color w:val="000000"/>
          <w:sz w:val="21"/>
          <w:szCs w:val="21"/>
          <w:highlight w:val="none"/>
        </w:rPr>
        <w:t xml:space="preserve">18.开标</w:t>
      </w:r>
      <w:bookmarkEnd w:id="140"/>
      <w:r/>
      <w:bookmarkEnd w:id="141"/>
      <w:r/>
      <w:bookmarkEnd w:id="142"/>
      <w:r/>
      <w:bookmarkEnd w:id="143"/>
      <w:r/>
      <w:bookmarkEnd w:id="144"/>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End w:id="145"/>
      <w:r/>
      <w:bookmarkEnd w:id="146"/>
      <w:r>
        <w:rPr>
          <w:bCs/>
          <w:color w:val="000000"/>
          <w:highlight w:val="none"/>
        </w:rPr>
        <w:t xml:space="preserve">18.1采购代理机构按招标文件规定的时间和地点开标，供应商应委派授权代表准时参加开标活动，办理交纳保证金、签名报到和递交投标文件等事宜。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18.2供应商必须在投标截止时间前办理完毕交纳保证金、签名报到、递交投标文件以及其他招标文件所规定的应在投标截止时间前完成的事项（如样品递交等）。</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18.4若投标文件未密封，或供应商未提交投标保证金（包括投标保证金不符合招标文件要求），采购代理机构将拒绝接受该供应商的投标文件。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18.5供应商未参加开标的，视同认可开标结果。</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47"/>
      <w:r/>
      <w:bookmarkStart w:id="148" w:name="_Toc4696409"/>
      <w:r/>
      <w:bookmarkStart w:id="149" w:name="_Toc20030"/>
      <w:r/>
      <w:bookmarkStart w:id="150" w:name="_Toc20823303"/>
      <w:r/>
      <w:bookmarkStart w:id="151" w:name="_Toc16938547"/>
      <w:r/>
      <w:bookmarkStart w:id="152" w:name="_Toc513029231"/>
      <w:r/>
      <w:bookmarkStart w:id="153" w:name="_Toc29284"/>
      <w:r>
        <w:rPr>
          <w:rFonts w:ascii="Times New Roman" w:eastAsia="宋体"/>
          <w:b/>
          <w:bCs/>
          <w:color w:val="000000"/>
          <w:sz w:val="21"/>
          <w:szCs w:val="21"/>
          <w:highlight w:val="none"/>
        </w:rPr>
        <w:t xml:space="preserve">19.评标组织</w:t>
      </w:r>
      <w:bookmarkEnd w:id="148"/>
      <w:r/>
      <w:bookmarkEnd w:id="149"/>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50"/>
      <w:r/>
      <w:bookmarkEnd w:id="151"/>
      <w:r/>
      <w:bookmarkEnd w:id="152"/>
      <w:r/>
      <w:bookmarkEnd w:id="153"/>
      <w:r/>
      <w:bookmarkStart w:id="154" w:name="_Toc21772"/>
      <w:r/>
      <w:bookmarkStart w:id="155" w:name="_Toc862"/>
      <w:r/>
      <w:bookmarkStart w:id="156" w:name="_Toc4696410"/>
      <w:r/>
      <w:bookmarkStart w:id="157" w:name="_Toc10707"/>
      <w:r/>
      <w:bookmarkStart w:id="158" w:name="_Toc16496"/>
      <w:r>
        <w:rPr>
          <w:rFonts w:ascii="Times New Roman" w:eastAsia="宋体"/>
          <w:b/>
          <w:bCs/>
          <w:color w:val="000000"/>
          <w:sz w:val="21"/>
          <w:szCs w:val="21"/>
          <w:highlight w:val="none"/>
        </w:rPr>
        <w:t xml:space="preserve">20.</w:t>
      </w:r>
      <w:bookmarkEnd w:id="154"/>
      <w:r/>
      <w:bookmarkEnd w:id="155"/>
      <w:r>
        <w:rPr>
          <w:rFonts w:ascii="Times New Roman" w:eastAsia="宋体"/>
          <w:b/>
          <w:bCs/>
          <w:color w:val="000000"/>
          <w:sz w:val="21"/>
          <w:szCs w:val="21"/>
          <w:highlight w:val="none"/>
        </w:rPr>
        <w:t xml:space="preserve">对投标文件的资格性审查和符合性审查</w:t>
      </w:r>
      <w:bookmarkEnd w:id="156"/>
      <w:r/>
      <w:bookmarkEnd w:id="157"/>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20.3评标委员会在初审中，对明显的文字和算术错误的修正原则如下：</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w:t>
      </w:r>
      <w:r>
        <w:rPr>
          <w:b/>
          <w:color w:val="000000"/>
          <w:highlight w:val="none"/>
        </w:rPr>
        <w:t xml:space="preserve">《开标一览表》（报价表）内容与投标文件中相应内容不一致的，以《开标一览表》（报价表）为准</w:t>
      </w:r>
      <w:r>
        <w:rPr>
          <w:bCs/>
          <w:color w:val="000000"/>
          <w:highlight w:val="none"/>
        </w:rPr>
        <w:t xml:space="preserve">；</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1140"/>
        <w:ind w:firstLine="422"/>
        <w:spacing w:line="440" w:lineRule="exact"/>
        <w:rPr>
          <w:b/>
          <w:color w:val="000000"/>
          <w:highlight w:val="none"/>
        </w:rPr>
      </w:pPr>
      <w:r>
        <w:rPr>
          <w:b/>
          <w:color w:val="000000"/>
          <w:highlight w:val="none"/>
        </w:rPr>
        <w:t xml:space="preserve">20.4投标文件有下列情况之一的，在符合性检查时按照无效投标处理：</w:t>
      </w:r>
      <w:r>
        <w:rPr>
          <w:b/>
          <w:color w:val="000000"/>
          <w:highlight w:val="none"/>
        </w:rPr>
      </w:r>
      <w:r/>
    </w:p>
    <w:p>
      <w:pPr>
        <w:pStyle w:val="1140"/>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（2）不同供应商的投标文件由同一单位或者个人编制；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（3）不同供应商委托同一单位或者个人办理投标事宜；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（4）不同供应商的投标文件载明的项目管理成员或者联系人员为同一人；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（5）不同供应商的投标文件异常一致或者投标报价呈规律性差异；</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（6）不同供应商的投标文件相互混装；</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（7）不同供应商的投标保证金从同一单位或者个人的账户转出；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（8）报价超过招标文件中规定的项目预算或者最高限价的；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（9）投标文件含有采购人不能接受的附加条件的；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（10）不同供应商的法定代表人或委托代理人有夫妻、直系血亲关系的；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（11）不同供应商的负责人为同一人或者存在控股、管理关系的；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（12）不同供应商的委托代理人(或法定代表人、项目经理、项目总监、项目负责人等)在采购文件发布日上月至投标截止日当月在同一单位缴纳社会保险的；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1140"/>
        <w:ind w:firstLine="422"/>
        <w:spacing w:line="440" w:lineRule="exact"/>
        <w:rPr>
          <w:b/>
          <w:color w:val="000000"/>
          <w:szCs w:val="21"/>
          <w:highlight w:val="none"/>
        </w:rPr>
      </w:pPr>
      <w:r>
        <w:rPr>
          <w:b/>
          <w:color w:val="000000"/>
          <w:highlight w:val="none"/>
        </w:rPr>
        <w:t xml:space="preserve">20.5招标文件中标注</w:t>
      </w:r>
      <w:r>
        <w:rPr>
          <w:b/>
          <w:color w:val="000000"/>
          <w:szCs w:val="22"/>
          <w:highlight w:val="none"/>
        </w:rPr>
        <w:t xml:space="preserve">“</w:t>
      </w:r>
      <w:r>
        <w:rPr>
          <w:b/>
          <w:color w:val="000000"/>
          <w:szCs w:val="22"/>
          <w:highlight w:val="none"/>
          <w:lang w:val="zh-CN"/>
        </w:rPr>
        <w:t xml:space="preserve">★</w:t>
      </w:r>
      <w:r>
        <w:rPr>
          <w:b/>
          <w:color w:val="000000"/>
          <w:szCs w:val="22"/>
          <w:highlight w:val="none"/>
        </w:rPr>
        <w:t xml:space="preserve">”的</w:t>
      </w:r>
      <w:r>
        <w:rPr>
          <w:b/>
          <w:color w:val="000000"/>
          <w:highlight w:val="none"/>
        </w:rPr>
        <w:t xml:space="preserve">内容为实质性要求，有一项不符合的，作无效投标处理，标注“★”和“▲”的内容，供应商均必须在投标文件内提供技术支持资料（如白皮书、彩页、手册、检测报告等），未提供技术支持资料的，评审时不予认可</w:t>
      </w:r>
      <w:r>
        <w:rPr>
          <w:b/>
          <w:color w:val="000000"/>
          <w:szCs w:val="21"/>
          <w:highlight w:val="none"/>
        </w:rPr>
        <w:t xml:space="preserve">。</w:t>
      </w:r>
      <w:r>
        <w:rPr>
          <w:b/>
          <w:color w:val="000000"/>
          <w:szCs w:val="21"/>
          <w:highlight w:val="none"/>
        </w:rPr>
      </w:r>
      <w:r/>
    </w:p>
    <w:p>
      <w:pPr>
        <w:pStyle w:val="1140"/>
        <w:ind w:firstLine="422"/>
        <w:spacing w:line="440" w:lineRule="exact"/>
        <w:rPr>
          <w:b/>
          <w:color w:val="000000"/>
          <w:highlight w:val="none"/>
        </w:rPr>
      </w:pPr>
      <w:r>
        <w:rPr>
          <w:b/>
          <w:color w:val="000000"/>
          <w:highlight w:val="none"/>
        </w:rPr>
        <w:t xml:space="preserve">20.6</w:t>
      </w:r>
      <w:r>
        <w:rPr>
          <w:b/>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rFonts w:hint="eastAsia"/>
          <w:b/>
          <w:color w:val="000000"/>
          <w:highlight w:val="none"/>
        </w:rPr>
        <w:t xml:space="preserve">。</w:t>
      </w:r>
      <w:r>
        <w:rPr>
          <w:b/>
          <w:color w:val="000000"/>
          <w:highlight w:val="none"/>
        </w:rPr>
      </w:r>
      <w:r/>
    </w:p>
    <w:p>
      <w:pPr>
        <w:pStyle w:val="1140"/>
        <w:ind w:firstLine="422"/>
        <w:spacing w:line="440" w:lineRule="exact"/>
        <w:rPr>
          <w:b/>
          <w:color w:val="000000"/>
          <w:szCs w:val="21"/>
          <w:highlight w:val="none"/>
        </w:rPr>
      </w:pPr>
      <w:r/>
      <w:bookmarkEnd w:id="158"/>
      <w:r/>
      <w:bookmarkStart w:id="159" w:name="_Toc4696411"/>
      <w:r/>
      <w:bookmarkStart w:id="160" w:name="_Toc13685"/>
      <w:r>
        <w:rPr>
          <w:rFonts w:hint="eastAsia"/>
          <w:b/>
          <w:bCs/>
          <w:color w:val="000000"/>
          <w:szCs w:val="21"/>
          <w:highlight w:val="none"/>
        </w:rPr>
        <w:t xml:space="preserve">20.7</w:t>
      </w:r>
      <w:r>
        <w:rPr>
          <w:b/>
          <w:color w:val="000000"/>
          <w:szCs w:val="21"/>
          <w:highlight w:val="none"/>
        </w:rPr>
        <w:t xml:space="preserve">异常低价投标审查</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（1）评标过程中出现下列情形之一的，评标委员会应当启动异常低价投标（响应）审查程序：</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①投标（响应）报价低于全部通过符合性审查供应商投标（响应）报价平均值50%的，即投标（响应）报价&lt;全部通过符合性审查供应商投标（响应）报价平均值×50%；</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②投标（响应）报价低于通过符合性审查的次低报价供应商投标（响应）报价50%的，即投标（响应）报价&lt;通过符合性审查的次低报价供应商投标（响应）报价×50%；</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③投标（响应）报价低于采购项目最高限价45%的，即投标（响应）报价&lt;采购项目最高限价×45%；</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④评标委员会基于专业判断，认为供应商报价过低，有可能影响产品质量或者不能诚信履约的其他情形。</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color w:val="000000"/>
          <w:szCs w:val="21"/>
          <w:highlight w:val="none"/>
        </w:rPr>
      </w:r>
      <w:r/>
    </w:p>
    <w:p>
      <w:pPr>
        <w:pStyle w:val="1140"/>
        <w:ind w:firstLine="422"/>
        <w:spacing w:line="440" w:lineRule="exact"/>
        <w:tabs>
          <w:tab w:val="left" w:pos="480" w:leader="none"/>
        </w:tabs>
        <w:rPr>
          <w:color w:val="000000"/>
          <w:szCs w:val="21"/>
          <w:highlight w:val="none"/>
        </w:rPr>
      </w:pPr>
      <w:r>
        <w:rPr>
          <w:b/>
          <w:color w:val="000000"/>
          <w:szCs w:val="21"/>
          <w:highlight w:val="none"/>
        </w:rPr>
        <w:t xml:space="preserve">（4）异常低价投标（响应）审查的启动原因、审查意见和审查结果应当在评审报告中记录，并随供应商提供的相关书面说明及证明材料，以及评标委员会有关互联网浏览、查询历史一并归档</w:t>
      </w:r>
      <w:r>
        <w:rPr>
          <w:rFonts w:hint="eastAsia"/>
          <w:color w:val="000000"/>
          <w:szCs w:val="21"/>
          <w:highlight w:val="none"/>
        </w:rPr>
        <w:t xml:space="preserve">。</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61" w:name="_Toc29752"/>
      <w:r>
        <w:rPr>
          <w:rFonts w:ascii="Times New Roman" w:eastAsia="宋体"/>
          <w:b/>
          <w:bCs/>
          <w:color w:val="000000"/>
          <w:sz w:val="21"/>
          <w:szCs w:val="21"/>
          <w:highlight w:val="none"/>
        </w:rPr>
        <w:t xml:space="preserve">21.投标文件的澄清</w:t>
      </w:r>
      <w:bookmarkEnd w:id="159"/>
      <w:r/>
      <w:bookmarkEnd w:id="161"/>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4696412"/>
      <w:r/>
      <w:bookmarkStart w:id="163" w:name="_Toc26250"/>
      <w:r>
        <w:rPr>
          <w:rFonts w:ascii="Times New Roman" w:eastAsia="宋体"/>
          <w:b/>
          <w:bCs/>
          <w:color w:val="000000"/>
          <w:sz w:val="21"/>
          <w:szCs w:val="21"/>
          <w:highlight w:val="none"/>
        </w:rPr>
        <w:t xml:space="preserve">22.对投标文件的详细评审</w:t>
      </w:r>
      <w:bookmarkEnd w:id="162"/>
      <w:r/>
      <w:bookmarkEnd w:id="163"/>
      <w:r>
        <w:rPr>
          <w:rFonts w:ascii="Times New Roman" w:eastAsia="宋体"/>
          <w:b/>
          <w:bCs/>
          <w:color w:val="000000"/>
          <w:sz w:val="21"/>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w:t>
      </w:r>
      <w:r>
        <w:rPr>
          <w:rFonts w:hint="eastAsia"/>
          <w:bCs/>
          <w:color w:val="000000"/>
          <w:szCs w:val="21"/>
          <w:highlight w:val="none"/>
        </w:rPr>
        <w:t xml:space="preserve">2.3</w:t>
      </w:r>
      <w:r>
        <w:rPr>
          <w:bCs/>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1140"/>
        <w:ind w:firstLine="420"/>
        <w:spacing w:line="440" w:lineRule="exact"/>
        <w:rPr>
          <w:rFonts w:hint="eastAsia"/>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rFonts w:hint="eastAsia"/>
          <w:bCs/>
          <w:color w:val="000000"/>
          <w:szCs w:val="21"/>
          <w:highlight w:val="none"/>
        </w:rPr>
        <w:t xml:space="preserve">。</w:t>
      </w:r>
      <w:r>
        <w:rPr>
          <w:rFonts w:hint="eastAsia"/>
          <w:bCs/>
          <w:color w:val="000000"/>
          <w:szCs w:val="21"/>
          <w:highlight w:val="none"/>
        </w:rPr>
      </w:r>
      <w:r/>
    </w:p>
    <w:p>
      <w:pPr>
        <w:pStyle w:val="1140"/>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60"/>
      <w:r/>
      <w:bookmarkStart w:id="164" w:name="_Toc28875"/>
      <w:r/>
      <w:bookmarkStart w:id="165" w:name="_Toc4696413"/>
      <w:r/>
      <w:bookmarkStart w:id="166" w:name="_Toc12358"/>
      <w:r/>
      <w:bookmarkStart w:id="167" w:name="_Toc8260"/>
      <w:r/>
      <w:bookmarkStart w:id="168" w:name="_Toc26838"/>
      <w:r>
        <w:rPr>
          <w:rFonts w:ascii="Times New Roman" w:eastAsia="宋体"/>
          <w:b/>
          <w:bCs/>
          <w:color w:val="000000"/>
          <w:sz w:val="21"/>
          <w:szCs w:val="21"/>
          <w:highlight w:val="none"/>
        </w:rPr>
        <w:t xml:space="preserve">23.评标过程的保密与公正</w:t>
      </w:r>
      <w:bookmarkEnd w:id="164"/>
      <w:r/>
      <w:bookmarkEnd w:id="165"/>
      <w:r/>
      <w:bookmarkEnd w:id="166"/>
      <w:r/>
      <w:bookmarkEnd w:id="167"/>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End w:id="168"/>
      <w:r/>
      <w:bookmarkStart w:id="169" w:name="_Toc26041"/>
      <w:r/>
      <w:bookmarkStart w:id="170" w:name="_Toc30824"/>
      <w:r/>
      <w:bookmarkStart w:id="171"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2" w:name="_Toc4696414"/>
      <w:r/>
      <w:bookmarkStart w:id="173" w:name="_Toc29042"/>
      <w:r>
        <w:rPr>
          <w:rFonts w:ascii="Times New Roman" w:eastAsia="宋体"/>
          <w:b/>
          <w:bCs/>
          <w:color w:val="000000"/>
          <w:sz w:val="21"/>
          <w:szCs w:val="21"/>
          <w:highlight w:val="none"/>
        </w:rPr>
        <w:t xml:space="preserve">24.无效投标条款和废标条款</w:t>
      </w:r>
      <w:bookmarkEnd w:id="169"/>
      <w:r/>
      <w:bookmarkEnd w:id="170"/>
      <w:r/>
      <w:bookmarkEnd w:id="172"/>
      <w:r/>
      <w:bookmarkEnd w:id="173"/>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（2）未按照招标文件规定要求密封、签署、盖章的；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（3）供应商在报价时采用选择性报价；</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（4）供应商不具备招标文件中规定资格要求的；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（5）供应商的报价超过了采购预算的；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（6）未通过符合性检查的；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（7）不符合招标文件中规定的其他实质性要求和条件的；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（8）其他法律、法规及本招标文件规定的属无效投标的情形。</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4" w:name="_Toc4696415"/>
      <w:r/>
      <w:bookmarkStart w:id="175" w:name="_Toc12678"/>
      <w:r>
        <w:rPr>
          <w:rFonts w:ascii="Times New Roman" w:eastAsia="宋体"/>
          <w:b/>
          <w:bCs/>
          <w:color w:val="000000"/>
          <w:sz w:val="21"/>
          <w:szCs w:val="21"/>
          <w:highlight w:val="none"/>
        </w:rPr>
        <w:t xml:space="preserve">25.投标截止时间结束参加投标的供应商不足三家的处理</w:t>
      </w:r>
      <w:bookmarkEnd w:id="174"/>
      <w:r/>
      <w:bookmarkEnd w:id="175"/>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176" w:name="_Toc4696416"/>
      <w:r/>
      <w:bookmarkStart w:id="177" w:name="_Toc2661"/>
      <w:r>
        <w:rPr>
          <w:b/>
          <w:bCs/>
          <w:color w:val="000000"/>
          <w:sz w:val="24"/>
          <w:highlight w:val="none"/>
        </w:rPr>
        <w:t xml:space="preserve">六、授标</w:t>
      </w:r>
      <w:bookmarkEnd w:id="171"/>
      <w:r/>
      <w:bookmarkEnd w:id="176"/>
      <w:r/>
      <w:bookmarkEnd w:id="177"/>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8" w:name="_Toc28693"/>
      <w:r/>
      <w:bookmarkStart w:id="179" w:name="_Toc4696417"/>
      <w:r/>
      <w:bookmarkStart w:id="180" w:name="_Toc22694"/>
      <w:r>
        <w:rPr>
          <w:rFonts w:ascii="Times New Roman" w:eastAsia="宋体"/>
          <w:b/>
          <w:bCs/>
          <w:color w:val="000000"/>
          <w:sz w:val="21"/>
          <w:szCs w:val="21"/>
          <w:highlight w:val="none"/>
        </w:rPr>
        <w:t xml:space="preserve">26.确定中标</w:t>
      </w:r>
      <w:bookmarkEnd w:id="178"/>
      <w:r>
        <w:rPr>
          <w:rFonts w:ascii="Times New Roman" w:eastAsia="宋体"/>
          <w:b/>
          <w:bCs/>
          <w:color w:val="000000"/>
          <w:sz w:val="21"/>
          <w:szCs w:val="21"/>
          <w:highlight w:val="none"/>
        </w:rPr>
        <w:t xml:space="preserve">供应商</w:t>
      </w:r>
      <w:bookmarkEnd w:id="179"/>
      <w:r/>
      <w:bookmarkEnd w:id="180"/>
      <w:r>
        <w:rPr>
          <w:rFonts w:ascii="Times New Roman" w:eastAsia="宋体"/>
          <w:b/>
          <w:bCs/>
          <w:color w:val="000000"/>
          <w:sz w:val="21"/>
          <w:szCs w:val="21"/>
          <w:highlight w:val="none"/>
        </w:rPr>
      </w:r>
      <w:r/>
    </w:p>
    <w:p>
      <w:pPr>
        <w:pStyle w:val="1140"/>
        <w:ind w:firstLine="420"/>
        <w:spacing w:line="440" w:lineRule="exact"/>
        <w:rPr>
          <w:color w:val="000000"/>
          <w:highlight w:val="none"/>
        </w:rPr>
      </w:pPr>
      <w:r/>
      <w:bookmarkStart w:id="181"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81"/>
      <w:r/>
      <w:bookmarkStart w:id="182" w:name="_Toc19713"/>
      <w:r/>
      <w:bookmarkStart w:id="183" w:name="_Toc21169"/>
      <w:r/>
      <w:bookmarkStart w:id="184" w:name="_Toc4696418"/>
      <w:r/>
      <w:bookmarkStart w:id="185" w:name="_Toc32182"/>
      <w:r/>
      <w:bookmarkStart w:id="186" w:name="_Toc14009"/>
      <w:r/>
      <w:bookmarkStart w:id="187" w:name="_Toc4684"/>
      <w:r>
        <w:rPr>
          <w:rFonts w:ascii="Times New Roman" w:eastAsia="宋体"/>
          <w:b/>
          <w:bCs/>
          <w:color w:val="000000"/>
          <w:sz w:val="21"/>
          <w:szCs w:val="21"/>
          <w:highlight w:val="none"/>
        </w:rPr>
        <w:t xml:space="preserve">27.中标的通知</w:t>
      </w:r>
      <w:bookmarkEnd w:id="182"/>
      <w:r/>
      <w:bookmarkEnd w:id="183"/>
      <w:r/>
      <w:bookmarkEnd w:id="184"/>
      <w:r/>
      <w:bookmarkEnd w:id="185"/>
      <w:r/>
      <w:bookmarkEnd w:id="186"/>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27.1定标后，采购代理机构将定标结果通知所有的供应商，并向中标供应商发出中标通知书。</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27.2中标供应商在收到中标通知书后，应郑重保证履行中标供应商应履行的，含招标代理服务费在内的一切义务和责任。</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27.3中标通知书是合同的组成部分。</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4"/>
          <w:highlight w:val="none"/>
        </w:rPr>
      </w:pPr>
      <w:r/>
      <w:bookmarkEnd w:id="187"/>
      <w:r/>
      <w:bookmarkStart w:id="188" w:name="_Toc4696419"/>
      <w:r/>
      <w:bookmarkStart w:id="189" w:name="_Toc15484"/>
      <w:r/>
      <w:bookmarkStart w:id="190" w:name="_Toc2049"/>
      <w:r/>
      <w:bookmarkStart w:id="191" w:name="_Toc1968"/>
      <w:r/>
      <w:bookmarkStart w:id="192" w:name="_Toc24788"/>
      <w:r>
        <w:rPr>
          <w:rFonts w:ascii="Times New Roman" w:eastAsia="宋体"/>
          <w:b/>
          <w:bCs/>
          <w:color w:val="000000"/>
          <w:sz w:val="21"/>
          <w:szCs w:val="21"/>
          <w:highlight w:val="none"/>
        </w:rPr>
        <w:t xml:space="preserve">28.签订合同</w:t>
      </w:r>
      <w:bookmarkEnd w:id="188"/>
      <w:r/>
      <w:bookmarkEnd w:id="189"/>
      <w:r/>
      <w:bookmarkEnd w:id="190"/>
      <w:r/>
      <w:bookmarkEnd w:id="191"/>
      <w:r>
        <w:rPr>
          <w:rFonts w:ascii="Times New Roman" w:eastAsia="宋体"/>
          <w:b/>
          <w:bCs/>
          <w:color w:val="000000"/>
          <w:sz w:val="24"/>
          <w:highlight w:val="none"/>
        </w:rPr>
      </w:r>
      <w:r/>
    </w:p>
    <w:p>
      <w:pPr>
        <w:pStyle w:val="1140"/>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92"/>
      <w:r/>
      <w:bookmarkStart w:id="193" w:name="_Toc22298"/>
      <w:r/>
      <w:bookmarkStart w:id="194" w:name="_Toc15509"/>
      <w:r/>
      <w:bookmarkStart w:id="195" w:name="_Toc4696420"/>
      <w:r/>
      <w:bookmarkStart w:id="196" w:name="_Toc16942"/>
      <w:r/>
      <w:bookmarkStart w:id="197" w:name="_Toc20112"/>
      <w:r>
        <w:rPr>
          <w:rFonts w:ascii="Times New Roman" w:eastAsia="宋体"/>
          <w:b/>
          <w:bCs/>
          <w:color w:val="000000"/>
          <w:sz w:val="21"/>
          <w:szCs w:val="21"/>
          <w:highlight w:val="none"/>
        </w:rPr>
        <w:t xml:space="preserve">29.</w:t>
      </w:r>
      <w:bookmarkEnd w:id="193"/>
      <w:r>
        <w:rPr>
          <w:rFonts w:ascii="Times New Roman" w:eastAsia="宋体"/>
          <w:b/>
          <w:bCs/>
          <w:color w:val="000000"/>
          <w:sz w:val="21"/>
          <w:szCs w:val="21"/>
          <w:highlight w:val="none"/>
        </w:rPr>
        <w:t xml:space="preserve">招标代理服务费</w:t>
      </w:r>
      <w:bookmarkEnd w:id="194"/>
      <w:r/>
      <w:bookmarkEnd w:id="195"/>
      <w:r/>
      <w:bookmarkEnd w:id="196"/>
      <w:r>
        <w:rPr>
          <w:rFonts w:ascii="Times New Roman" w:eastAsia="宋体"/>
          <w:b/>
          <w:bCs/>
          <w:color w:val="000000"/>
          <w:sz w:val="21"/>
          <w:szCs w:val="21"/>
          <w:highlight w:val="none"/>
        </w:rPr>
      </w:r>
      <w:r/>
    </w:p>
    <w:p>
      <w:pPr>
        <w:pStyle w:val="1140"/>
        <w:ind w:firstLine="420"/>
        <w:spacing w:line="440" w:lineRule="exact"/>
        <w:shd w:val="clear" w:color="auto" w:fill="ffffff"/>
        <w:widowControl/>
        <w:rPr>
          <w:bCs/>
          <w:color w:val="000000"/>
          <w:highlight w:val="none"/>
        </w:rPr>
      </w:pPr>
      <w:r/>
      <w:bookmarkStart w:id="198" w:name="_Toc4696421"/>
      <w:r>
        <w:rPr>
          <w:bCs/>
          <w:color w:val="000000"/>
          <w:highlight w:val="none"/>
        </w:rPr>
        <w:t xml:space="preserve">详见投标人须知前附表。</w:t>
      </w:r>
      <w:r>
        <w:rPr>
          <w:bCs/>
          <w:color w:val="000000"/>
          <w:highlight w:val="none"/>
        </w:rPr>
      </w:r>
      <w:r/>
    </w:p>
    <w:p>
      <w:pPr>
        <w:pStyle w:val="1140"/>
        <w:ind w:firstLine="241"/>
        <w:spacing w:line="440" w:lineRule="exact"/>
        <w:shd w:val="clear" w:color="auto" w:fill="ffffff"/>
        <w:widowControl/>
        <w:rPr>
          <w:b/>
          <w:bCs/>
          <w:color w:val="000000"/>
          <w:sz w:val="24"/>
          <w:highlight w:val="none"/>
        </w:rPr>
        <w:outlineLvl w:val="1"/>
      </w:pPr>
      <w:r/>
      <w:bookmarkStart w:id="199" w:name="_Toc32186"/>
      <w:r>
        <w:rPr>
          <w:b/>
          <w:bCs/>
          <w:color w:val="000000"/>
          <w:sz w:val="24"/>
          <w:highlight w:val="none"/>
        </w:rPr>
        <w:t xml:space="preserve">七、质疑</w:t>
      </w:r>
      <w:bookmarkEnd w:id="197"/>
      <w:r/>
      <w:bookmarkEnd w:id="198"/>
      <w:r/>
      <w:bookmarkEnd w:id="199"/>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200" w:name="_Toc16085"/>
      <w:r/>
      <w:bookmarkStart w:id="201" w:name="_Toc29529"/>
      <w:r/>
      <w:bookmarkStart w:id="202" w:name="_Toc19917"/>
      <w:r/>
      <w:bookmarkStart w:id="203" w:name="_Toc4696422"/>
      <w:r/>
      <w:bookmarkStart w:id="204" w:name="_Toc28783"/>
      <w:r>
        <w:rPr>
          <w:rFonts w:ascii="Times New Roman" w:eastAsia="宋体"/>
          <w:b/>
          <w:bCs/>
          <w:color w:val="000000"/>
          <w:sz w:val="21"/>
          <w:szCs w:val="21"/>
          <w:highlight w:val="none"/>
        </w:rPr>
        <w:t xml:space="preserve">30、质疑</w:t>
      </w:r>
      <w:bookmarkEnd w:id="200"/>
      <w:r/>
      <w:bookmarkEnd w:id="201"/>
      <w:r/>
      <w:bookmarkEnd w:id="202"/>
      <w:r/>
      <w:bookmarkEnd w:id="203"/>
      <w:r/>
      <w:bookmarkEnd w:id="204"/>
      <w:r>
        <w:rPr>
          <w:rFonts w:ascii="Times New Roman" w:eastAsia="宋体"/>
          <w:b/>
          <w:bCs/>
          <w:color w:val="000000"/>
          <w:sz w:val="21"/>
          <w:szCs w:val="21"/>
          <w:highlight w:val="none"/>
        </w:rPr>
      </w:r>
      <w:r/>
    </w:p>
    <w:p>
      <w:pPr>
        <w:pStyle w:val="1140"/>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140"/>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140"/>
        <w:ind w:firstLine="420"/>
        <w:spacing w:line="440" w:lineRule="exact"/>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1140"/>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5" w:name="_Toc4696423"/>
      <w:r/>
      <w:bookmarkStart w:id="206" w:name="_Toc13551"/>
      <w:r>
        <w:rPr>
          <w:b/>
          <w:color w:val="000000"/>
          <w:sz w:val="28"/>
          <w:szCs w:val="28"/>
          <w:highlight w:val="none"/>
        </w:rPr>
        <w:t xml:space="preserve">第三章 评标标准</w:t>
      </w:r>
      <w:bookmarkEnd w:id="205"/>
      <w:r/>
      <w:bookmarkEnd w:id="206"/>
      <w:r>
        <w:rPr>
          <w:b/>
          <w:color w:val="000000"/>
          <w:szCs w:val="21"/>
          <w:highlight w:val="none"/>
        </w:rPr>
      </w:r>
      <w:r/>
    </w:p>
    <w:p>
      <w:pPr>
        <w:pStyle w:val="1140"/>
        <w:ind w:left="632" w:hanging="632"/>
        <w:spacing w:line="360" w:lineRule="auto"/>
        <w:widowControl/>
        <w:rPr>
          <w:b/>
          <w:bCs/>
          <w:color w:val="000000"/>
          <w:szCs w:val="21"/>
          <w:highlight w:val="none"/>
        </w:rPr>
      </w:pPr>
      <w:r/>
      <w:bookmarkStart w:id="207" w:name="_Toc521839351"/>
      <w:r/>
      <w:bookmarkEnd w:id="207"/>
      <w:r/>
      <w:bookmarkStart w:id="208" w:name="_Toc142623417"/>
      <w:r/>
      <w:bookmarkEnd w:id="208"/>
      <w:r/>
      <w:bookmarkStart w:id="209" w:name="_Toc189726853"/>
      <w:r/>
      <w:bookmarkEnd w:id="209"/>
      <w:r/>
      <w:bookmarkStart w:id="210" w:name="_Toc25032666"/>
      <w:r/>
      <w:bookmarkEnd w:id="210"/>
      <w:r/>
      <w:bookmarkStart w:id="211" w:name="_Toc522347554"/>
      <w:r/>
      <w:bookmarkEnd w:id="211"/>
      <w:r/>
      <w:bookmarkStart w:id="212" w:name="_Hlk297273538"/>
      <w:r/>
      <w:bookmarkEnd w:id="212"/>
      <w:r/>
      <w:bookmarkStart w:id="213" w:name="_Toc163629751"/>
      <w:r/>
      <w:bookmarkEnd w:id="213"/>
      <w:r>
        <w:rPr>
          <w:b/>
          <w:bCs/>
          <w:color w:val="000000"/>
          <w:szCs w:val="21"/>
          <w:highlight w:val="none"/>
        </w:rPr>
        <w:t xml:space="preserve">（一）评标方法</w:t>
      </w:r>
      <w:r>
        <w:rPr>
          <w:b/>
          <w:bCs/>
          <w:color w:val="000000"/>
          <w:szCs w:val="21"/>
          <w:highlight w:val="none"/>
        </w:rPr>
      </w:r>
      <w:r/>
    </w:p>
    <w:p>
      <w:pPr>
        <w:pStyle w:val="1140"/>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140"/>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140"/>
        <w:ind w:firstLine="211"/>
        <w:spacing w:line="360" w:lineRule="auto"/>
        <w:rPr>
          <w:color w:val="000000"/>
          <w:szCs w:val="21"/>
          <w:highlight w:val="none"/>
        </w:rPr>
      </w:pPr>
      <w:r>
        <w:rPr>
          <w:rFonts w:hint="eastAsia"/>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35"/>
        <w:ind w:firstLine="422"/>
        <w:spacing w:line="360" w:lineRule="auto"/>
        <w:rPr>
          <w:color w:val="000000"/>
          <w:szCs w:val="21"/>
          <w:highlight w:val="none"/>
        </w:rPr>
      </w:pPr>
      <w:r>
        <w:rPr>
          <w:rFonts w:hint="eastAsia"/>
          <w:b/>
          <w:bCs/>
          <w:color w:val="000000"/>
          <w:szCs w:val="21"/>
          <w:highlight w:val="none"/>
        </w:rPr>
        <w:t xml:space="preserve">（1）</w:t>
      </w:r>
      <w:r>
        <w:rPr>
          <w:b/>
          <w:bCs/>
          <w:color w:val="000000"/>
          <w:szCs w:val="21"/>
          <w:highlight w:val="none"/>
        </w:rPr>
        <w:t xml:space="preserve">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35"/>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（2）</w:t>
      </w:r>
      <w:r>
        <w:rPr>
          <w:b/>
          <w:bCs/>
          <w:color w:val="000000"/>
          <w:szCs w:val="21"/>
          <w:highlight w:val="none"/>
        </w:rPr>
        <w:t xml:space="preserve">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（3）</w:t>
      </w:r>
      <w:r>
        <w:rPr>
          <w:b/>
          <w:bCs/>
          <w:color w:val="000000"/>
          <w:szCs w:val="21"/>
          <w:highlight w:val="none"/>
        </w:rPr>
        <w:t xml:space="preserve">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（4）</w:t>
      </w:r>
      <w:r>
        <w:rPr>
          <w:b/>
          <w:bCs/>
          <w:color w:val="000000"/>
          <w:szCs w:val="21"/>
          <w:highlight w:val="none"/>
        </w:rPr>
        <w:t xml:space="preserve">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1140"/>
        <w:ind w:firstLine="422"/>
        <w:spacing w:line="360" w:lineRule="auto"/>
        <w:rPr>
          <w:rFonts w:hint="eastAsia"/>
          <w:color w:val="000000"/>
          <w:szCs w:val="21"/>
          <w:highlight w:val="none"/>
        </w:rPr>
      </w:pPr>
      <w:r>
        <w:rPr>
          <w:rFonts w:hint="eastAsia"/>
          <w:b/>
          <w:bCs/>
          <w:color w:val="000000"/>
          <w:szCs w:val="21"/>
          <w:highlight w:val="none"/>
        </w:rPr>
        <w:t xml:space="preserve">（5）采购本国产品的支持政策：</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1140"/>
        <w:ind w:firstLine="420"/>
        <w:spacing w:line="360" w:lineRule="auto"/>
        <w:rPr>
          <w:color w:val="000000"/>
          <w:szCs w:val="22"/>
          <w:highlight w:val="none"/>
        </w:rPr>
      </w:pPr>
      <w:r>
        <w:rPr>
          <w:rFonts w:hint="eastAsia"/>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1196"/>
        <w:ind w:firstLine="0"/>
        <w:rPr>
          <w:color w:val="000000"/>
          <w:szCs w:val="21"/>
          <w:highlight w:val="none"/>
        </w:rPr>
      </w:pPr>
      <w:r>
        <w:rPr>
          <w:rFonts w:hint="eastAsia"/>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1196"/>
        <w:rPr>
          <w:color w:val="000000"/>
          <w:szCs w:val="21"/>
          <w:highlight w:val="none"/>
        </w:rPr>
      </w:pPr>
      <w:r>
        <w:rPr>
          <w:color w:val="000000"/>
          <w:szCs w:val="21"/>
          <w:highlight w:val="none"/>
        </w:rPr>
        <w:t xml:space="preserve">具体打分方法如下：</w:t>
      </w:r>
      <w:r>
        <w:rPr>
          <w:color w:val="000000"/>
          <w:szCs w:val="21"/>
          <w:highlight w:val="none"/>
        </w:rPr>
      </w:r>
      <w:r/>
    </w:p>
    <w:tbl>
      <w:tblPr>
        <w:tblW w:w="92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316"/>
        <w:gridCol w:w="6624"/>
        <w:gridCol w:w="662"/>
      </w:tblGrid>
      <w:tr>
        <w:trPr>
          <w:cantSplit/>
          <w:trHeight w:val="631"/>
          <w:tblHeader/>
        </w:trPr>
        <w:tc>
          <w:tcPr>
            <w:tcW w:w="696"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bookmarkStart w:id="214" w:name="_Hlk140161554"/>
            <w:r>
              <w:rPr>
                <w:rFonts w:ascii="Times New Roman" w:hAnsi="Times New Roman" w:eastAsia="宋体" w:cs="Times New Roman"/>
                <w:b/>
                <w:color w:val="000000"/>
                <w:sz w:val="21"/>
                <w:szCs w:val="21"/>
              </w:rPr>
              <w:t xml:space="preserve">序号</w:t>
            </w:r>
            <w:r>
              <w:rPr>
                <w:rFonts w:ascii="Times New Roman" w:hAnsi="Times New Roman" w:eastAsia="宋体" w:cs="Times New Roman"/>
                <w:b/>
                <w:color w:val="000000"/>
                <w:sz w:val="21"/>
                <w:szCs w:val="21"/>
              </w:rPr>
            </w:r>
            <w:r/>
          </w:p>
        </w:tc>
        <w:tc>
          <w:tcPr>
            <w:tcW w:w="1316"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评分因素</w:t>
            </w:r>
            <w:r>
              <w:rPr>
                <w:rFonts w:ascii="Times New Roman" w:hAnsi="Times New Roman" w:eastAsia="宋体" w:cs="Times New Roman"/>
                <w:b/>
                <w:color w:val="000000"/>
                <w:sz w:val="21"/>
                <w:szCs w:val="21"/>
              </w:rPr>
            </w:r>
            <w:r/>
          </w:p>
        </w:tc>
        <w:tc>
          <w:tcPr>
            <w:tcW w:w="6624"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评审细则</w:t>
            </w:r>
            <w:r>
              <w:rPr>
                <w:rFonts w:ascii="Times New Roman" w:hAnsi="Times New Roman" w:eastAsia="宋体" w:cs="Times New Roman"/>
                <w:b/>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r>
      <w:tr>
        <w:trPr>
          <w:cantSplit/>
          <w:trHeight w:val="1272"/>
        </w:trPr>
        <w:tc>
          <w:tcPr>
            <w:tcW w:w="696" w:type="dxa"/>
            <w:vAlign w:val="center"/>
            <w:textDirection w:val="lrTb"/>
            <w:noWrap w:val="false"/>
          </w:tcPr>
          <w:p>
            <w:pPr>
              <w:pStyle w:val="1140"/>
              <w:jc w:val="center"/>
              <w:spacing w:line="440" w:lineRule="exact"/>
              <w:tabs>
                <w:tab w:val="left" w:pos="0" w:leader="none"/>
                <w:tab w:val="left" w:pos="228"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w:t>
            </w:r>
            <w:r>
              <w:rPr>
                <w:rFonts w:ascii="Times New Roman" w:hAnsi="Times New Roman" w:eastAsia="宋体" w:cs="Times New Roman"/>
                <w:bCs/>
                <w:color w:val="000000"/>
                <w:sz w:val="21"/>
                <w:szCs w:val="21"/>
              </w:rPr>
            </w:r>
            <w:r/>
          </w:p>
        </w:tc>
        <w:tc>
          <w:tcPr>
            <w:tcW w:w="131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价格</w:t>
            </w:r>
            <w:r>
              <w:rPr>
                <w:rFonts w:ascii="Times New Roman" w:hAnsi="Times New Roman" w:eastAsia="宋体" w:cs="Times New Roman"/>
                <w:bCs/>
                <w:color w:val="000000"/>
                <w:sz w:val="21"/>
                <w:szCs w:val="21"/>
              </w:rPr>
            </w:r>
            <w:r/>
          </w:p>
        </w:tc>
        <w:tc>
          <w:tcPr>
            <w:tcW w:w="6624" w:type="dxa"/>
            <w:vAlign w:val="center"/>
            <w:textDirection w:val="lrTb"/>
            <w:noWrap w:val="false"/>
          </w:tcPr>
          <w:p>
            <w:pPr>
              <w:pStyle w:val="1140"/>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满足采购文件要求且投标价格最低的投标报价为评标基准价，其价格分为满分。其他投标人的价格分统一按照下列公式计算：投标报价得分 = (评标基准价／投标报价)×50。（分值保留小数点后两位）</w:t>
            </w:r>
            <w:r>
              <w:rPr>
                <w:rFonts w:ascii="Times New Roman" w:hAnsi="Times New Roman" w:eastAsia="宋体" w:cs="Times New Roman"/>
                <w:bCs/>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50</w:t>
            </w:r>
            <w:r>
              <w:rPr>
                <w:rFonts w:ascii="Times New Roman" w:hAnsi="Times New Roman" w:eastAsia="宋体" w:cs="Times New Roman"/>
                <w:bCs/>
                <w:color w:val="000000"/>
                <w:sz w:val="21"/>
                <w:szCs w:val="21"/>
              </w:rPr>
            </w:r>
            <w:r/>
          </w:p>
        </w:tc>
      </w:tr>
      <w:tr>
        <w:trPr>
          <w:cantSplit/>
          <w:trHeight w:val="1272"/>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2</w:t>
            </w:r>
            <w:r>
              <w:rPr>
                <w:rFonts w:ascii="Times New Roman" w:hAnsi="Times New Roman" w:eastAsia="宋体" w:cs="Times New Roman"/>
                <w:bCs/>
                <w:color w:val="000000"/>
                <w:sz w:val="21"/>
                <w:szCs w:val="21"/>
              </w:rPr>
            </w:r>
            <w:r/>
          </w:p>
        </w:tc>
        <w:tc>
          <w:tcPr>
            <w:tcW w:w="131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eastAsia="zh-CN"/>
              </w:rPr>
            </w:pPr>
            <w:r>
              <w:rPr>
                <w:rFonts w:ascii="Times New Roman" w:hAnsi="Times New Roman" w:eastAsia="宋体" w:cs="Times New Roman"/>
                <w:color w:val="000000"/>
                <w:sz w:val="21"/>
                <w:szCs w:val="21"/>
              </w:rPr>
              <w:t xml:space="preserve">技术响应</w:t>
            </w:r>
            <w:r>
              <w:rPr>
                <w:rFonts w:ascii="Times New Roman" w:hAnsi="Times New Roman" w:eastAsia="宋体" w:cs="Times New Roman"/>
                <w:bCs/>
                <w:color w:val="000000"/>
                <w:sz w:val="21"/>
                <w:szCs w:val="21"/>
                <w:lang w:eastAsia="zh-CN"/>
              </w:rPr>
            </w:r>
            <w:r/>
          </w:p>
        </w:tc>
        <w:tc>
          <w:tcPr>
            <w:tcW w:w="6624" w:type="dxa"/>
            <w:vAlign w:val="center"/>
            <w:textDirection w:val="lrTb"/>
            <w:noWrap w:val="false"/>
          </w:tcPr>
          <w:p>
            <w:pPr>
              <w:pStyle w:val="1140"/>
              <w:spacing w:line="44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rPr>
              <w:t xml:space="preserve">技术参数全部满足招标要求的得满分</w:t>
            </w:r>
            <w:r>
              <w:rPr>
                <w:rFonts w:ascii="Times New Roman" w:hAnsi="Times New Roman" w:eastAsia="宋体" w:cs="Times New Roman"/>
                <w:bCs/>
                <w:color w:val="000000"/>
                <w:sz w:val="21"/>
                <w:szCs w:val="21"/>
                <w:lang w:val="en-US" w:eastAsia="zh-CN"/>
              </w:rPr>
              <w:t xml:space="preserve">34</w:t>
            </w:r>
            <w:r>
              <w:rPr>
                <w:rFonts w:ascii="Times New Roman" w:hAnsi="Times New Roman" w:eastAsia="宋体" w:cs="Times New Roman"/>
                <w:bCs/>
                <w:color w:val="000000"/>
                <w:sz w:val="21"/>
                <w:szCs w:val="21"/>
              </w:rPr>
              <w:t xml:space="preserve">分；在此基础上，招标文件中标注“★”的内容为实质性要求，有一项</w:t>
            </w:r>
            <w:r>
              <w:rPr>
                <w:rFonts w:ascii="Times New Roman" w:hAnsi="Times New Roman" w:eastAsia="宋体" w:cs="Times New Roman"/>
                <w:bCs/>
                <w:color w:val="000000"/>
                <w:sz w:val="21"/>
                <w:szCs w:val="21"/>
                <w:highlight w:val="none"/>
              </w:rPr>
              <w:t xml:space="preserve">不符合的，作无效投标处理，招标文件中标注 “▲”的为重要参数，每负偏离一项扣</w:t>
            </w:r>
            <w:r>
              <w:rPr>
                <w:rFonts w:ascii="Times New Roman" w:hAnsi="Times New Roman" w:eastAsia="宋体" w:cs="Times New Roman"/>
                <w:bCs/>
                <w:color w:val="000000"/>
                <w:sz w:val="21"/>
                <w:szCs w:val="21"/>
                <w:highlight w:val="none"/>
                <w:lang w:val="en-US" w:eastAsia="zh-CN"/>
              </w:rPr>
              <w:t xml:space="preserve">6</w:t>
            </w:r>
            <w:r>
              <w:rPr>
                <w:rFonts w:ascii="Times New Roman" w:hAnsi="Times New Roman" w:eastAsia="宋体" w:cs="Times New Roman"/>
                <w:bCs/>
                <w:color w:val="000000"/>
                <w:sz w:val="21"/>
                <w:szCs w:val="21"/>
                <w:highlight w:val="none"/>
              </w:rPr>
              <w:t xml:space="preserve">分，其他非重要参数负偏离的，则每项扣</w:t>
            </w:r>
            <w:r>
              <w:rPr>
                <w:rFonts w:ascii="Times New Roman" w:hAnsi="Times New Roman" w:eastAsia="宋体" w:cs="Times New Roman"/>
                <w:bCs/>
                <w:color w:val="000000"/>
                <w:sz w:val="21"/>
                <w:szCs w:val="21"/>
                <w:highlight w:val="none"/>
                <w:lang w:val="en-US" w:eastAsia="zh-CN"/>
              </w:rPr>
              <w:t xml:space="preserve">2</w:t>
            </w:r>
            <w:r>
              <w:rPr>
                <w:rFonts w:ascii="Times New Roman" w:hAnsi="Times New Roman" w:eastAsia="宋体" w:cs="Times New Roman"/>
                <w:bCs/>
                <w:color w:val="000000"/>
                <w:sz w:val="21"/>
                <w:szCs w:val="21"/>
                <w:highlight w:val="none"/>
              </w:rPr>
              <w:t xml:space="preserve">分。</w:t>
            </w:r>
            <w:r>
              <w:rPr>
                <w:rFonts w:ascii="Times New Roman" w:hAnsi="Times New Roman" w:eastAsia="宋体" w:cs="Times New Roman"/>
                <w:bCs/>
                <w:color w:val="000000"/>
                <w:sz w:val="21"/>
                <w:szCs w:val="21"/>
                <w:highlight w:val="none"/>
              </w:rPr>
            </w:r>
            <w:r/>
          </w:p>
          <w:p>
            <w:pPr>
              <w:pStyle w:val="1140"/>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注：所有标注“★”“▲”技术内容的响应均应提供支撑资料（第四章招标技术规格及要求中“技术要求”内有明确要求的根据要求提供；未要求的，提供明确说明该技术内容的公开发行的产品彩页、产品说明书、配置清单或第三方检测机构的检测报告等），未提供技术支撑材料的，按负偏离处理。未在《技术条款偏离表》注明支撑资料具体位置（如页码或序号）导致评审不得分的，评审委员会概不负责。</w:t>
            </w:r>
            <w:r>
              <w:rPr>
                <w:rFonts w:ascii="Times New Roman" w:hAnsi="Times New Roman" w:eastAsia="宋体" w:cs="Times New Roman"/>
                <w:bCs/>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34</w:t>
            </w:r>
            <w:r>
              <w:rPr>
                <w:rFonts w:ascii="Times New Roman" w:hAnsi="Times New Roman" w:eastAsia="宋体" w:cs="Times New Roman"/>
                <w:bCs/>
                <w:color w:val="000000"/>
                <w:sz w:val="21"/>
                <w:szCs w:val="21"/>
                <w:lang w:val="en-US" w:eastAsia="zh-CN"/>
              </w:rPr>
            </w:r>
            <w:r/>
          </w:p>
        </w:tc>
      </w:tr>
      <w:tr>
        <w:trPr>
          <w:cantSplit/>
          <w:trHeight w:val="1344"/>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3</w:t>
            </w:r>
            <w:r>
              <w:rPr>
                <w:rFonts w:ascii="Times New Roman" w:hAnsi="Times New Roman" w:eastAsia="宋体" w:cs="Times New Roman"/>
                <w:bCs/>
                <w:color w:val="000000"/>
                <w:sz w:val="21"/>
                <w:szCs w:val="21"/>
              </w:rPr>
            </w:r>
            <w:r/>
          </w:p>
        </w:tc>
        <w:tc>
          <w:tcPr>
            <w:tcW w:w="131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项目案例</w:t>
            </w:r>
            <w:r>
              <w:rPr>
                <w:rFonts w:ascii="Times New Roman" w:hAnsi="Times New Roman" w:eastAsia="宋体" w:cs="Times New Roman"/>
                <w:bCs/>
                <w:color w:val="000000"/>
                <w:sz w:val="21"/>
                <w:szCs w:val="21"/>
              </w:rPr>
            </w:r>
            <w:r/>
          </w:p>
        </w:tc>
        <w:tc>
          <w:tcPr>
            <w:tcW w:w="6624" w:type="dxa"/>
            <w:vAlign w:val="center"/>
            <w:textDirection w:val="lrTb"/>
            <w:noWrap w:val="false"/>
          </w:tcPr>
          <w:p>
            <w:pPr>
              <w:pStyle w:val="1140"/>
              <w:spacing w:line="440" w:lineRule="exact"/>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提供自202</w:t>
            </w:r>
            <w:r>
              <w:rPr>
                <w:rFonts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年0</w:t>
            </w: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月01日至今（以合同签订时间为准），设备（与本次所投产品同品牌型号）销售业绩，每提供一份</w:t>
            </w:r>
            <w:r>
              <w:rPr>
                <w:rFonts w:ascii="Times New Roman" w:hAnsi="Times New Roman" w:eastAsia="宋体" w:cs="Times New Roman"/>
                <w:color w:val="000000"/>
                <w:sz w:val="21"/>
                <w:szCs w:val="21"/>
                <w:lang w:val="en-US" w:eastAsia="zh-CN"/>
              </w:rPr>
              <w:t xml:space="preserve">有效</w:t>
            </w:r>
            <w:r>
              <w:rPr>
                <w:rFonts w:ascii="Times New Roman" w:hAnsi="Times New Roman" w:eastAsia="宋体" w:cs="Times New Roman"/>
                <w:color w:val="000000"/>
                <w:sz w:val="21"/>
                <w:szCs w:val="21"/>
              </w:rPr>
              <w:t xml:space="preserve">业绩得1分，本项最高得3分。（提供合同复印件，不提供或提供不全不得分，</w:t>
            </w:r>
            <w:r>
              <w:rPr>
                <w:rFonts w:ascii="Times New Roman" w:hAnsi="Times New Roman" w:eastAsia="宋体" w:cs="Times New Roman"/>
                <w:color w:val="000000"/>
                <w:sz w:val="21"/>
                <w:szCs w:val="21"/>
                <w:highlight w:val="none"/>
              </w:rPr>
              <w:t xml:space="preserve">同一甲方不重复计分</w:t>
            </w:r>
            <w:r>
              <w:rPr>
                <w:rFonts w:ascii="Times New Roman" w:hAnsi="Times New Roman" w:eastAsia="宋体" w:cs="Times New Roman"/>
                <w:color w:val="000000"/>
                <w:sz w:val="21"/>
                <w:szCs w:val="21"/>
              </w:rPr>
              <w:t xml:space="preserve">）</w:t>
            </w:r>
            <w:r>
              <w:rPr>
                <w:rFonts w:ascii="Times New Roman" w:hAnsi="Times New Roman" w:eastAsia="宋体" w:cs="Times New Roman"/>
                <w:bCs/>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3</w:t>
            </w:r>
            <w:r>
              <w:rPr>
                <w:rFonts w:ascii="Times New Roman" w:hAnsi="Times New Roman" w:eastAsia="宋体" w:cs="Times New Roman"/>
                <w:bCs/>
                <w:color w:val="000000"/>
                <w:sz w:val="21"/>
                <w:szCs w:val="21"/>
              </w:rPr>
            </w:r>
            <w:r/>
          </w:p>
        </w:tc>
      </w:tr>
      <w:tr>
        <w:trPr>
          <w:cantSplit/>
          <w:trHeight w:val="1344"/>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lang w:val="en-US" w:eastAsia="zh-CN"/>
              </w:rPr>
            </w:r>
            <w:r/>
          </w:p>
        </w:tc>
        <w:tc>
          <w:tcPr>
            <w:tcW w:w="131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免费质保期</w:t>
            </w:r>
            <w:r>
              <w:rPr>
                <w:rFonts w:ascii="Times New Roman" w:hAnsi="Times New Roman" w:eastAsia="宋体" w:cs="Times New Roman"/>
                <w:bCs/>
                <w:color w:val="000000"/>
                <w:sz w:val="21"/>
                <w:szCs w:val="21"/>
              </w:rPr>
            </w:r>
            <w:r/>
          </w:p>
        </w:tc>
        <w:tc>
          <w:tcPr>
            <w:tcW w:w="6624" w:type="dxa"/>
            <w:vAlign w:val="center"/>
            <w:textDirection w:val="lrTb"/>
            <w:noWrap w:val="false"/>
          </w:tcPr>
          <w:p>
            <w:pPr>
              <w:pStyle w:val="1140"/>
              <w:spacing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项目整体及所有设备满足招标文件要求免费质保期要求不得分，在此基础上免费质保期每增加1年加1分，最高得</w:t>
            </w:r>
            <w:r>
              <w:rPr>
                <w:rFonts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分。（若投标文件中出现前后不一致的情况，以最低免费质保期作为评分依据）</w:t>
            </w:r>
            <w:r>
              <w:rPr>
                <w:rFonts w:ascii="Times New Roman" w:hAnsi="Times New Roman" w:eastAsia="宋体" w:cs="Times New Roman"/>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3</w:t>
            </w:r>
            <w:r>
              <w:rPr>
                <w:rFonts w:ascii="Times New Roman" w:hAnsi="Times New Roman" w:eastAsia="宋体" w:cs="Times New Roman"/>
                <w:bCs/>
                <w:color w:val="000000"/>
                <w:sz w:val="21"/>
                <w:szCs w:val="21"/>
                <w:lang w:val="en-US" w:eastAsia="zh-CN"/>
              </w:rPr>
            </w:r>
            <w:r/>
          </w:p>
        </w:tc>
      </w:tr>
      <w:tr>
        <w:trPr>
          <w:cantSplit/>
          <w:trHeight w:val="865"/>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5</w:t>
            </w:r>
            <w:r>
              <w:rPr>
                <w:rFonts w:ascii="Times New Roman" w:hAnsi="Times New Roman" w:eastAsia="宋体" w:cs="Times New Roman"/>
                <w:bCs/>
                <w:color w:val="000000"/>
                <w:sz w:val="21"/>
                <w:szCs w:val="21"/>
              </w:rPr>
            </w:r>
            <w:r/>
          </w:p>
        </w:tc>
        <w:tc>
          <w:tcPr>
            <w:tcW w:w="1316" w:type="dxa"/>
            <w:vAlign w:val="center"/>
            <w:textDirection w:val="lrTb"/>
            <w:noWrap w:val="false"/>
          </w:tcPr>
          <w:p>
            <w:pPr>
              <w:pStyle w:val="114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rPr>
              <w:t xml:space="preserve">服务</w:t>
            </w:r>
            <w:r>
              <w:rPr>
                <w:rFonts w:ascii="Times New Roman" w:hAnsi="Times New Roman" w:eastAsia="宋体" w:cs="Times New Roman"/>
                <w:bCs/>
                <w:color w:val="000000"/>
                <w:sz w:val="21"/>
                <w:szCs w:val="21"/>
                <w:lang w:val="en-US" w:eastAsia="zh-CN"/>
              </w:rPr>
              <w:t xml:space="preserve">方案</w:t>
            </w:r>
            <w:r>
              <w:rPr>
                <w:rFonts w:ascii="Times New Roman" w:hAnsi="Times New Roman" w:eastAsia="宋体" w:cs="Times New Roman"/>
                <w:bCs/>
                <w:color w:val="000000"/>
                <w:sz w:val="21"/>
                <w:szCs w:val="21"/>
                <w:lang w:val="en-US" w:eastAsia="zh-CN"/>
              </w:rPr>
            </w:r>
            <w:r/>
          </w:p>
        </w:tc>
        <w:tc>
          <w:tcPr>
            <w:tcW w:w="6624" w:type="dxa"/>
            <w:vAlign w:val="center"/>
            <w:textDirection w:val="lrTb"/>
            <w:noWrap w:val="false"/>
          </w:tcPr>
          <w:p>
            <w:pPr>
              <w:pStyle w:val="1219"/>
              <w:ind w:firstLine="0"/>
              <w:spacing w:line="440" w:lineRule="exact"/>
              <w:widowControl/>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（1）设备到货、安装、调试方案（</w:t>
            </w:r>
            <w:r>
              <w:rPr>
                <w:rFonts w:ascii="Times New Roman" w:hAnsi="Times New Roman" w:eastAsia="宋体" w:cs="Times New Roman"/>
                <w:bCs/>
                <w:color w:val="000000"/>
                <w:sz w:val="21"/>
                <w:szCs w:val="21"/>
                <w:lang w:val="en-US" w:eastAsia="zh-CN"/>
              </w:rPr>
              <w:t xml:space="preserve">3</w:t>
            </w:r>
            <w:r>
              <w:rPr>
                <w:rFonts w:ascii="Times New Roman" w:hAnsi="Times New Roman" w:eastAsia="宋体" w:cs="Times New Roman"/>
                <w:bCs/>
                <w:color w:val="000000"/>
                <w:sz w:val="21"/>
                <w:szCs w:val="21"/>
              </w:rPr>
              <w:t xml:space="preserve">分）：投标人应提供设备到货运输、安装、调试方案。方案完整详实、科学合理、具备针对性且切实可行、满足采购人实际需求的得</w:t>
            </w:r>
            <w:r>
              <w:rPr>
                <w:rFonts w:ascii="Times New Roman" w:hAnsi="Times New Roman" w:eastAsia="宋体" w:cs="Times New Roman"/>
                <w:bCs/>
                <w:color w:val="000000"/>
                <w:sz w:val="21"/>
                <w:szCs w:val="21"/>
                <w:lang w:val="en-US" w:eastAsia="zh-CN"/>
              </w:rPr>
              <w:t xml:space="preserve">3</w:t>
            </w:r>
            <w:r>
              <w:rPr>
                <w:rFonts w:ascii="Times New Roman" w:hAnsi="Times New Roman" w:eastAsia="宋体" w:cs="Times New Roman"/>
                <w:bCs/>
                <w:color w:val="000000"/>
                <w:sz w:val="21"/>
                <w:szCs w:val="21"/>
              </w:rPr>
              <w:t xml:space="preserve">分；方案基本完整、较为科学合理，基本满足采购人实际需求的得</w:t>
            </w:r>
            <w:r>
              <w:rPr>
                <w:rFonts w:ascii="Times New Roman" w:hAnsi="Times New Roman" w:eastAsia="宋体" w:cs="Times New Roman"/>
                <w:bCs/>
                <w:color w:val="000000"/>
                <w:sz w:val="21"/>
                <w:szCs w:val="21"/>
                <w:lang w:val="en-US" w:eastAsia="zh-CN"/>
              </w:rPr>
              <w:t xml:space="preserve">2</w:t>
            </w:r>
            <w:r>
              <w:rPr>
                <w:rFonts w:ascii="Times New Roman" w:hAnsi="Times New Roman" w:eastAsia="宋体" w:cs="Times New Roman"/>
                <w:bCs/>
                <w:color w:val="000000"/>
                <w:sz w:val="21"/>
                <w:szCs w:val="21"/>
              </w:rPr>
              <w:t xml:space="preserve">分；方案完整性、合理性、针对性、可行性有所欠缺，与采购人实际需求存在差距得1分。其余情况不得分。</w:t>
            </w:r>
            <w:r>
              <w:rPr>
                <w:rFonts w:ascii="Times New Roman" w:hAnsi="Times New Roman" w:eastAsia="宋体" w:cs="Times New Roman"/>
                <w:bCs/>
                <w:color w:val="000000"/>
                <w:sz w:val="21"/>
                <w:szCs w:val="21"/>
              </w:rPr>
            </w:r>
            <w:r/>
          </w:p>
          <w:p>
            <w:pPr>
              <w:pStyle w:val="1219"/>
              <w:ind w:firstLine="0"/>
              <w:spacing w:line="440" w:lineRule="exact"/>
              <w:widowControl/>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（2）人员培训方案（</w:t>
            </w:r>
            <w:r>
              <w:rPr>
                <w:rFonts w:ascii="Times New Roman" w:hAnsi="Times New Roman" w:eastAsia="宋体" w:cs="Times New Roman"/>
                <w:bCs/>
                <w:color w:val="000000"/>
                <w:sz w:val="21"/>
                <w:szCs w:val="21"/>
                <w:lang w:val="en-US" w:eastAsia="zh-CN"/>
              </w:rPr>
              <w:t xml:space="preserve">3</w:t>
            </w:r>
            <w:r>
              <w:rPr>
                <w:rFonts w:ascii="Times New Roman" w:hAnsi="Times New Roman" w:eastAsia="宋体" w:cs="Times New Roman"/>
                <w:bCs/>
                <w:color w:val="000000"/>
                <w:sz w:val="21"/>
                <w:szCs w:val="21"/>
              </w:rPr>
              <w:t xml:space="preserve">分）：投标人应提供人员操作培训、维修保养培训、以及相关科研教育等进阶培训、学习会议方案。方案完整详实、科学合理、具备针对性且切实可行、满足采购人实际需求的得</w:t>
            </w:r>
            <w:r>
              <w:rPr>
                <w:rFonts w:ascii="Times New Roman" w:hAnsi="Times New Roman" w:eastAsia="宋体" w:cs="Times New Roman"/>
                <w:bCs/>
                <w:color w:val="000000"/>
                <w:sz w:val="21"/>
                <w:szCs w:val="21"/>
                <w:lang w:val="en-US" w:eastAsia="zh-CN"/>
              </w:rPr>
              <w:t xml:space="preserve">3</w:t>
            </w:r>
            <w:r>
              <w:rPr>
                <w:rFonts w:ascii="Times New Roman" w:hAnsi="Times New Roman" w:eastAsia="宋体" w:cs="Times New Roman"/>
                <w:bCs/>
                <w:color w:val="000000"/>
                <w:sz w:val="21"/>
                <w:szCs w:val="21"/>
              </w:rPr>
              <w:t xml:space="preserve">分；方案基本完整、较为科学合理，基本满足采购人实际需求的得</w:t>
            </w:r>
            <w:r>
              <w:rPr>
                <w:rFonts w:ascii="Times New Roman" w:hAnsi="Times New Roman" w:eastAsia="宋体" w:cs="Times New Roman"/>
                <w:bCs/>
                <w:color w:val="000000"/>
                <w:sz w:val="21"/>
                <w:szCs w:val="21"/>
                <w:lang w:val="en-US" w:eastAsia="zh-CN"/>
              </w:rPr>
              <w:t xml:space="preserve">2</w:t>
            </w:r>
            <w:r>
              <w:rPr>
                <w:rFonts w:ascii="Times New Roman" w:hAnsi="Times New Roman" w:eastAsia="宋体" w:cs="Times New Roman"/>
                <w:bCs/>
                <w:color w:val="000000"/>
                <w:sz w:val="21"/>
                <w:szCs w:val="21"/>
              </w:rPr>
              <w:t xml:space="preserve">分；方案完整性、合理性、针对性、可行性有所欠缺，与采购人实际需求存在差距得1分。其余情况不得分。</w:t>
            </w:r>
            <w:r>
              <w:rPr>
                <w:rFonts w:ascii="Times New Roman" w:hAnsi="Times New Roman" w:eastAsia="宋体" w:cs="Times New Roman"/>
                <w:bCs/>
                <w:color w:val="000000"/>
                <w:sz w:val="21"/>
                <w:szCs w:val="21"/>
              </w:rPr>
            </w:r>
            <w:r/>
          </w:p>
          <w:p>
            <w:pPr>
              <w:pStyle w:val="1219"/>
              <w:ind w:firstLine="0"/>
              <w:spacing w:line="440" w:lineRule="exact"/>
              <w:widowControl/>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（3）售后服务实施方案（</w:t>
            </w:r>
            <w:r>
              <w:rPr>
                <w:rFonts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rPr>
              <w:t xml:space="preserve">分）：根据投标人质保期内售后服务（响应时间，回访巡检方案、故障解决措施、技术人员保障、备品配件价格等）、本地化服务方案（服务网点、维修网点设置情况以及技术人员安排情况）等服务内容。方案完整详实、科学合理、具备针对性且切实可行、满足采购人实际需求的得</w:t>
            </w:r>
            <w:r>
              <w:rPr>
                <w:rFonts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rPr>
              <w:t xml:space="preserve">分；方案基本完整、较为科学合理，基本满足采购人实际需求的得</w:t>
            </w:r>
            <w:r>
              <w:rPr>
                <w:rFonts w:ascii="Times New Roman" w:hAnsi="Times New Roman" w:eastAsia="宋体" w:cs="Times New Roman"/>
                <w:bCs/>
                <w:color w:val="000000"/>
                <w:sz w:val="21"/>
                <w:szCs w:val="21"/>
                <w:lang w:val="en-US" w:eastAsia="zh-CN"/>
              </w:rPr>
              <w:t xml:space="preserve">2</w:t>
            </w:r>
            <w:r>
              <w:rPr>
                <w:rFonts w:ascii="Times New Roman" w:hAnsi="Times New Roman" w:eastAsia="宋体" w:cs="Times New Roman"/>
                <w:bCs/>
                <w:color w:val="000000"/>
                <w:sz w:val="21"/>
                <w:szCs w:val="21"/>
              </w:rPr>
              <w:t xml:space="preserve">分；方案完整性、合理性、针对性、可行性有所欠缺，与采购人实际需求存在差距得1分。其余情况不得分。</w:t>
            </w:r>
            <w:r>
              <w:rPr>
                <w:rFonts w:ascii="Times New Roman" w:hAnsi="Times New Roman" w:eastAsia="宋体" w:cs="Times New Roman"/>
                <w:bCs/>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eastAsia="zh-CN"/>
              </w:rPr>
            </w:pPr>
            <w:r>
              <w:rPr>
                <w:rFonts w:ascii="Times New Roman" w:hAnsi="Times New Roman" w:eastAsia="宋体" w:cs="Times New Roman"/>
                <w:bCs/>
                <w:color w:val="000000"/>
                <w:sz w:val="21"/>
                <w:szCs w:val="21"/>
              </w:rPr>
              <w:t xml:space="preserve">1</w:t>
            </w:r>
            <w:r>
              <w:rPr>
                <w:rFonts w:ascii="Times New Roman" w:hAnsi="Times New Roman" w:eastAsia="宋体" w:cs="Times New Roman"/>
                <w:bCs/>
                <w:color w:val="000000"/>
                <w:sz w:val="21"/>
                <w:szCs w:val="21"/>
                <w:lang w:val="en-US" w:eastAsia="zh-CN"/>
              </w:rPr>
              <w:t xml:space="preserve">0</w:t>
            </w:r>
            <w:r>
              <w:rPr>
                <w:rFonts w:ascii="Times New Roman" w:hAnsi="Times New Roman" w:eastAsia="宋体" w:cs="Times New Roman"/>
                <w:bCs/>
                <w:color w:val="000000"/>
                <w:sz w:val="21"/>
                <w:szCs w:val="21"/>
                <w:lang w:eastAsia="zh-CN"/>
              </w:rPr>
            </w:r>
            <w:r/>
          </w:p>
        </w:tc>
      </w:tr>
    </w:tbl>
    <w:p>
      <w:pPr>
        <w:pStyle w:val="1140"/>
        <w:jc w:val="left"/>
        <w:widowControl/>
        <w:rPr>
          <w:color w:val="000000"/>
          <w:szCs w:val="22"/>
          <w:highlight w:val="none"/>
        </w:rPr>
      </w:pPr>
      <w:r/>
      <w:bookmarkEnd w:id="214"/>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1140"/>
        <w:jc w:val="center"/>
        <w:spacing w:line="360" w:lineRule="auto"/>
        <w:rPr>
          <w:b/>
          <w:color w:val="000000"/>
          <w:sz w:val="28"/>
          <w:szCs w:val="28"/>
          <w:highlight w:val="none"/>
        </w:rPr>
        <w:outlineLvl w:val="0"/>
      </w:pPr>
      <w:r/>
      <w:bookmarkStart w:id="215" w:name="_Toc4696424"/>
      <w:r>
        <w:rPr>
          <w:b/>
          <w:color w:val="000000"/>
          <w:sz w:val="28"/>
          <w:szCs w:val="28"/>
          <w:highlight w:val="none"/>
        </w:rPr>
        <w:br w:type="page" w:clear="all"/>
      </w:r>
      <w:bookmarkStart w:id="216" w:name="_Toc11143"/>
      <w:r>
        <w:rPr>
          <w:b/>
          <w:color w:val="000000"/>
          <w:sz w:val="28"/>
          <w:szCs w:val="28"/>
          <w:highlight w:val="none"/>
        </w:rPr>
        <w:t xml:space="preserve">第四章 招标技术规格及要求</w:t>
      </w:r>
      <w:bookmarkEnd w:id="215"/>
      <w:r/>
      <w:bookmarkEnd w:id="216"/>
      <w:r>
        <w:rPr>
          <w:b/>
          <w:color w:val="000000"/>
          <w:sz w:val="28"/>
          <w:szCs w:val="28"/>
          <w:highlight w:val="none"/>
        </w:rPr>
      </w:r>
      <w:r/>
    </w:p>
    <w:p>
      <w:pPr>
        <w:pStyle w:val="1140"/>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49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650"/>
        <w:gridCol w:w="1754"/>
        <w:gridCol w:w="3956"/>
        <w:gridCol w:w="1695"/>
      </w:tblGrid>
      <w:tr>
        <w:trPr>
          <w:trHeight w:val="650"/>
        </w:trPr>
        <w:tc>
          <w:tcPr>
            <w:tcW w:w="392"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839"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892"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数量（台/套）</w:t>
            </w:r>
            <w:r>
              <w:rPr>
                <w:b/>
                <w:color w:val="000000"/>
                <w:szCs w:val="21"/>
                <w:highlight w:val="none"/>
              </w:rPr>
            </w:r>
            <w:r/>
          </w:p>
        </w:tc>
        <w:tc>
          <w:tcPr>
            <w:tcW w:w="2012" w:type="dxa"/>
            <w:vAlign w:val="center"/>
            <w:textDirection w:val="lrTb"/>
            <w:noWrap w:val="false"/>
          </w:tcPr>
          <w:p>
            <w:pPr>
              <w:pStyle w:val="1140"/>
              <w:jc w:val="center"/>
              <w:spacing w:line="460" w:lineRule="exact"/>
              <w:tabs>
                <w:tab w:val="left" w:pos="4788" w:leader="none"/>
              </w:tabs>
              <w:rPr>
                <w:b/>
                <w:color w:val="000000"/>
                <w:szCs w:val="21"/>
                <w:highlight w:val="none"/>
              </w:rPr>
            </w:pPr>
            <w:r>
              <w:rPr>
                <w:color w:val="000000"/>
                <w:szCs w:val="21"/>
                <w:highlight w:val="none"/>
                <w:lang w:val="zh-CN"/>
              </w:rPr>
              <w:t xml:space="preserve">★</w:t>
            </w:r>
            <w:r>
              <w:rPr>
                <w:b/>
                <w:color w:val="000000"/>
                <w:szCs w:val="21"/>
                <w:highlight w:val="none"/>
              </w:rPr>
              <w:t xml:space="preserve">合同履行期限</w:t>
            </w:r>
            <w:r>
              <w:rPr>
                <w:b/>
                <w:color w:val="000000"/>
                <w:szCs w:val="21"/>
                <w:highlight w:val="none"/>
              </w:rPr>
            </w:r>
            <w:r/>
          </w:p>
        </w:tc>
        <w:tc>
          <w:tcPr>
            <w:tcW w:w="862" w:type="dxa"/>
            <w:vAlign w:val="center"/>
            <w:textDirection w:val="lrTb"/>
            <w:noWrap w:val="false"/>
          </w:tcPr>
          <w:p>
            <w:pPr>
              <w:pStyle w:val="1140"/>
              <w:jc w:val="center"/>
              <w:spacing w:line="460" w:lineRule="exact"/>
              <w:tabs>
                <w:tab w:val="left" w:pos="4788" w:leader="none"/>
              </w:tabs>
              <w:rPr>
                <w:b/>
                <w:color w:val="000000"/>
                <w:szCs w:val="21"/>
                <w:highlight w:val="none"/>
              </w:rPr>
            </w:pPr>
            <w:r>
              <w:rPr>
                <w:b/>
                <w:color w:val="000000"/>
                <w:szCs w:val="21"/>
                <w:highlight w:val="none"/>
              </w:rPr>
              <w:t xml:space="preserve">项目预算金额</w:t>
            </w:r>
            <w:r>
              <w:rPr>
                <w:b/>
                <w:color w:val="000000"/>
                <w:szCs w:val="21"/>
                <w:highlight w:val="none"/>
              </w:rPr>
            </w:r>
            <w:r/>
          </w:p>
          <w:p>
            <w:pPr>
              <w:pStyle w:val="1140"/>
              <w:jc w:val="center"/>
              <w:spacing w:line="460" w:lineRule="exact"/>
              <w:tabs>
                <w:tab w:val="left" w:pos="4788" w:leader="none"/>
              </w:tabs>
              <w:rPr>
                <w:b/>
                <w:color w:val="000000"/>
                <w:szCs w:val="21"/>
                <w:highlight w:val="none"/>
              </w:rPr>
            </w:pPr>
            <w:r>
              <w:rPr>
                <w:b/>
                <w:color w:val="000000"/>
                <w:szCs w:val="21"/>
                <w:highlight w:val="none"/>
              </w:rPr>
              <w:t xml:space="preserve">（万元/人民币）</w:t>
            </w:r>
            <w:r>
              <w:rPr>
                <w:b/>
                <w:color w:val="000000"/>
                <w:szCs w:val="21"/>
                <w:highlight w:val="none"/>
              </w:rPr>
            </w:r>
            <w:r/>
          </w:p>
        </w:tc>
      </w:tr>
      <w:tr>
        <w:trPr>
          <w:trHeight w:val="730"/>
        </w:trPr>
        <w:tc>
          <w:tcPr>
            <w:tcW w:w="392"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839" w:type="dxa"/>
            <w:vAlign w:val="center"/>
            <w:textDirection w:val="lrTb"/>
            <w:noWrap w:val="false"/>
          </w:tcPr>
          <w:p>
            <w:pPr>
              <w:pStyle w:val="1140"/>
              <w:jc w:val="center"/>
              <w:widowControl/>
              <w:rPr>
                <w:rFonts w:hint="eastAsia" w:eastAsia="宋体"/>
                <w:color w:val="000000"/>
                <w:szCs w:val="21"/>
                <w:highlight w:val="none"/>
                <w:lang w:eastAsia="zh-CN"/>
              </w:rPr>
            </w:pPr>
            <w:r>
              <w:rPr>
                <w:rFonts w:hint="eastAsia"/>
                <w:color w:val="000000"/>
                <w:highlight w:val="none"/>
              </w:rPr>
              <w:t xml:space="preserve">血液透析机</w:t>
            </w:r>
            <w:r>
              <w:rPr>
                <w:rFonts w:hint="eastAsia" w:eastAsia="宋体"/>
                <w:color w:val="000000"/>
                <w:szCs w:val="21"/>
                <w:highlight w:val="none"/>
                <w:lang w:eastAsia="zh-CN"/>
              </w:rPr>
            </w:r>
            <w:r/>
          </w:p>
        </w:tc>
        <w:tc>
          <w:tcPr>
            <w:tcW w:w="892" w:type="dxa"/>
            <w:vAlign w:val="center"/>
            <w:textDirection w:val="lrTb"/>
            <w:noWrap w:val="false"/>
          </w:tcPr>
          <w:p>
            <w:pPr>
              <w:pStyle w:val="1140"/>
              <w:jc w:val="center"/>
              <w:widowControl/>
              <w:rPr>
                <w:color w:val="000000"/>
                <w:szCs w:val="21"/>
                <w:highlight w:val="none"/>
              </w:rPr>
            </w:pPr>
            <w:r>
              <w:rPr>
                <w:rFonts w:hint="eastAsia"/>
                <w:color w:val="000000"/>
                <w:highlight w:val="none"/>
              </w:rPr>
              <w:t xml:space="preserve">1</w:t>
            </w:r>
            <w:r>
              <w:rPr>
                <w:rFonts w:hint="eastAsia"/>
                <w:color w:val="000000"/>
                <w:highlight w:val="none"/>
                <w:lang w:val="en-US" w:eastAsia="zh-CN"/>
              </w:rPr>
              <w:t xml:space="preserve">0</w:t>
            </w:r>
            <w:r>
              <w:rPr>
                <w:color w:val="000000"/>
                <w:szCs w:val="21"/>
                <w:highlight w:val="none"/>
              </w:rPr>
            </w:r>
            <w:r/>
          </w:p>
        </w:tc>
        <w:tc>
          <w:tcPr>
            <w:tcW w:w="2012" w:type="dxa"/>
            <w:vAlign w:val="center"/>
            <w:textDirection w:val="lrTb"/>
            <w:noWrap w:val="false"/>
          </w:tcPr>
          <w:p>
            <w:pPr>
              <w:pStyle w:val="1140"/>
              <w:jc w:val="center"/>
              <w:spacing w:line="460" w:lineRule="exact"/>
              <w:tabs>
                <w:tab w:val="left" w:pos="4788" w:leader="none"/>
              </w:tabs>
              <w:rPr>
                <w:color w:val="000000"/>
                <w:szCs w:val="21"/>
                <w:highlight w:val="none"/>
              </w:rPr>
            </w:pPr>
            <w:r>
              <w:rPr>
                <w:rFonts w:hint="eastAsia"/>
                <w:color w:val="000000"/>
                <w:szCs w:val="21"/>
                <w:highlight w:val="none"/>
              </w:rPr>
              <w:t xml:space="preserve">合同生效后</w:t>
            </w:r>
            <w:r>
              <w:rPr>
                <w:rFonts w:hint="eastAsia"/>
                <w:color w:val="000000"/>
                <w:szCs w:val="21"/>
                <w:highlight w:val="none"/>
                <w:lang w:val="en-US" w:eastAsia="zh-CN"/>
              </w:rPr>
              <w:t xml:space="preserve">12</w:t>
            </w:r>
            <w:r>
              <w:rPr>
                <w:rFonts w:hint="eastAsia"/>
                <w:color w:val="000000"/>
                <w:szCs w:val="21"/>
                <w:highlight w:val="none"/>
              </w:rPr>
              <w:t xml:space="preserve">个月内按照医院需求分批供货，通知供货后一周内到货</w:t>
            </w:r>
            <w:r>
              <w:rPr>
                <w:color w:val="000000"/>
                <w:szCs w:val="21"/>
                <w:highlight w:val="none"/>
              </w:rPr>
            </w:r>
            <w:r/>
          </w:p>
        </w:tc>
        <w:tc>
          <w:tcPr>
            <w:tcW w:w="862" w:type="dxa"/>
            <w:vAlign w:val="center"/>
            <w:textDirection w:val="lrTb"/>
            <w:noWrap w:val="false"/>
          </w:tcPr>
          <w:p>
            <w:pPr>
              <w:pStyle w:val="1140"/>
              <w:jc w:val="center"/>
              <w:rPr>
                <w:color w:val="000000"/>
                <w:szCs w:val="21"/>
                <w:highlight w:val="none"/>
              </w:rPr>
            </w:pPr>
            <w:r>
              <w:rPr>
                <w:rFonts w:hint="eastAsia"/>
                <w:color w:val="000000"/>
                <w:szCs w:val="21"/>
                <w:highlight w:val="none"/>
                <w:lang w:val="en-US" w:eastAsia="zh-CN"/>
              </w:rPr>
              <w:t xml:space="preserve">110</w:t>
            </w:r>
            <w:r>
              <w:rPr>
                <w:rFonts w:hint="eastAsia"/>
                <w:color w:val="000000"/>
                <w:szCs w:val="21"/>
                <w:highlight w:val="none"/>
              </w:rPr>
              <w:t xml:space="preserve">.00</w:t>
            </w:r>
            <w:r>
              <w:rPr>
                <w:color w:val="000000"/>
                <w:szCs w:val="21"/>
                <w:highlight w:val="none"/>
              </w:rPr>
            </w:r>
            <w:r/>
          </w:p>
        </w:tc>
      </w:tr>
    </w:tbl>
    <w:p>
      <w:pPr>
        <w:pStyle w:val="1140"/>
        <w:numPr>
          <w:ilvl w:val="0"/>
          <w:numId w:val="4"/>
        </w:numPr>
        <w:spacing w:line="360" w:lineRule="auto"/>
        <w:rPr>
          <w:color w:val="000000"/>
          <w:highlight w:val="none"/>
        </w:rPr>
      </w:pPr>
      <w:r/>
      <w:bookmarkStart w:id="217" w:name="_Toc2516"/>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bCs/>
          <w:color w:val="000000"/>
          <w:szCs w:val="21"/>
          <w:highlight w:val="none"/>
        </w:rPr>
        <w:t xml:space="preserve">所有标注“★”“▲”技术内容的响应均应提供支撑资料（第四章招标技术规格及要求中“技术要求”内有明确要求的根据要求提供；未要求的，提供明确说明该技术内容的公开发行的产品彩页、产品说明书、配置清单或第三方检测机构的检测报告等），未提供技术支撑材料的，按负偏离处理。</w:t>
      </w:r>
      <w:r>
        <w:rPr>
          <w:color w:val="000000"/>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852"/>
        <w:gridCol w:w="8330"/>
      </w:tblGrid>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重要性</w:t>
            </w: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指标要求</w:t>
            </w:r>
            <w:r>
              <w:rPr>
                <w:rFonts w:ascii="Times New Roman" w:hAnsi="Times New Roman" w:eastAsia="宋体" w:cs="Times New Roman"/>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hint="eastAsia"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血泵速度、透析液速率可调。透析液温度可调。血泵管径应可调节，可用管径2-10mm。肝素泵可选用多种尺寸注射器</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安全监测系统完善可靠，标准配置动脉压、静脉压、跨膜压监测、空气报警监测和漏血监测。</w:t>
            </w:r>
            <w:r>
              <w:rPr>
                <w:rFonts w:ascii="Times New Roman" w:hAnsi="Times New Roman" w:eastAsia="宋体" w:cs="Times New Roman"/>
                <w:bCs/>
                <w:color w:val="000000"/>
                <w:sz w:val="21"/>
                <w:szCs w:val="21"/>
              </w:rPr>
              <w:t xml:space="preserve">空气监测及漏血监测应为双重监测功能。 </w:t>
            </w:r>
            <w:r>
              <w:rPr>
                <w:rFonts w:ascii="Times New Roman" w:hAnsi="Times New Roman" w:eastAsia="宋体" w:cs="Times New Roman"/>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具有开机时不可跳过的安全自检，且治疗过程中对系统密闭性仍具有规律性自检测功能。 </w:t>
            </w:r>
            <w:r>
              <w:rPr>
                <w:rFonts w:ascii="Times New Roman" w:hAnsi="Times New Roman" w:eastAsia="宋体" w:cs="Times New Roman"/>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bCs/>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具有平衡腔容量控制的超滤系统，超滤速率0～4000ml/h之间可调，精确度≤±1%。 </w:t>
            </w:r>
            <w:r>
              <w:rPr>
                <w:rFonts w:ascii="Times New Roman" w:hAnsi="Times New Roman" w:eastAsia="宋体" w:cs="Times New Roman"/>
                <w:bCs/>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透析液流量范围0-800ml/min，透析液流速可以调整，透析液平衡误差≤0.1%。</w:t>
            </w:r>
            <w:r>
              <w:rPr>
                <w:rFonts w:ascii="Times New Roman" w:hAnsi="Times New Roman" w:eastAsia="宋体" w:cs="Times New Roman"/>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1"/>
                <w:szCs w:val="21"/>
                <w:highlight w:val="none"/>
                <w:lang w:val="zh-CN"/>
              </w:rPr>
              <w:t xml:space="preserve">★</w:t>
            </w: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hint="eastAsia"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彩色液晶屏幕显示，可显示治疗数据和曲线图形，提供在线清除率、血温、血容量监测。</w:t>
            </w:r>
            <w:r>
              <w:rPr>
                <w:rFonts w:ascii="Times New Roman" w:hAnsi="Times New Roman" w:eastAsia="宋体" w:cs="Times New Roman"/>
                <w:bCs/>
                <w:color w:val="000000"/>
                <w:sz w:val="21"/>
                <w:szCs w:val="21"/>
              </w:rPr>
              <w:t xml:space="preserve">标准配置联机电子血压计，中文治疗系统</w:t>
            </w:r>
            <w:r>
              <w:rPr>
                <w:rFonts w:hint="eastAsia" w:ascii="Times New Roman" w:hAnsi="Times New Roman" w:eastAsia="宋体" w:cs="Times New Roman"/>
                <w:bCs/>
                <w:color w:val="000000"/>
                <w:sz w:val="21"/>
                <w:szCs w:val="21"/>
                <w:lang w:eastAsia="zh-CN"/>
              </w:rPr>
              <w:t xml:space="preserve">。</w:t>
            </w:r>
            <w:r>
              <w:rPr>
                <w:rFonts w:hint="eastAsia" w:ascii="Times New Roman" w:hAnsi="Times New Roman" w:eastAsia="宋体" w:cs="Times New Roman"/>
                <w:color w:val="000000"/>
                <w:sz w:val="21"/>
                <w:szCs w:val="21"/>
                <w:lang w:eastAsia="zh-CN"/>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7</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具备碳酸氢盐透析和醋酸盐透析功能，适用于各种规格之透析液。标配</w:t>
            </w:r>
            <w:r>
              <w:rPr>
                <w:rFonts w:ascii="Times New Roman" w:hAnsi="Times New Roman" w:eastAsia="宋体" w:cs="Times New Roman"/>
                <w:bCs/>
                <w:color w:val="000000"/>
                <w:sz w:val="21"/>
                <w:szCs w:val="21"/>
              </w:rPr>
              <w:t xml:space="preserve">透析液超纯过滤器及</w:t>
            </w:r>
            <w:r>
              <w:rPr>
                <w:rFonts w:ascii="Times New Roman" w:hAnsi="Times New Roman" w:eastAsia="宋体" w:cs="Times New Roman"/>
                <w:color w:val="000000"/>
                <w:sz w:val="21"/>
                <w:szCs w:val="21"/>
              </w:rPr>
              <w:t xml:space="preserve">碳酸氢盐干粉装置，具备超纯浓缩干粉透析功能。</w:t>
            </w:r>
            <w:r>
              <w:rPr>
                <w:rFonts w:ascii="Times New Roman" w:hAnsi="Times New Roman" w:eastAsia="宋体" w:cs="Times New Roman"/>
                <w:color w:val="000000"/>
                <w:sz w:val="21"/>
                <w:szCs w:val="21"/>
              </w:rPr>
            </w:r>
            <w:r/>
          </w:p>
        </w:tc>
      </w:tr>
      <w:tr>
        <w:trPr>
          <w:trHeight w:val="55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bCs/>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在机器操作界面，可以方便调整基础钠和处方钠浓度，为患者提供个性化透析，可在线制备超纯透析液和置换液，同时具备在线联机预充功能。</w:t>
            </w:r>
            <w:r>
              <w:rPr>
                <w:rFonts w:ascii="Times New Roman" w:hAnsi="Times New Roman" w:eastAsia="宋体" w:cs="Times New Roman"/>
                <w:bCs/>
                <w:color w:val="000000"/>
                <w:sz w:val="21"/>
                <w:szCs w:val="21"/>
              </w:rPr>
            </w:r>
            <w:r/>
          </w:p>
        </w:tc>
      </w:tr>
      <w:tr>
        <w:trPr>
          <w:trHeight w:val="55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9</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lang w:val="zh-CN"/>
              </w:rPr>
              <w:t xml:space="preserve">★</w:t>
            </w:r>
            <w:r>
              <w:rPr>
                <w:rFonts w:ascii="Times New Roman" w:hAnsi="Times New Roman" w:eastAsia="宋体" w:cs="Times New Roman"/>
                <w:b/>
                <w:bCs/>
                <w:color w:val="000000"/>
                <w:sz w:val="21"/>
                <w:szCs w:val="21"/>
                <w:highlight w:val="none"/>
                <w:lang w:val="zh-CN"/>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有数字化计算机信息网络接口，RS232C、RJ45或RS422接口。  </w:t>
            </w:r>
            <w:r>
              <w:rPr>
                <w:rFonts w:ascii="Times New Roman" w:hAnsi="Times New Roman" w:eastAsia="宋体" w:cs="Times New Roman"/>
                <w:color w:val="000000"/>
                <w:sz w:val="21"/>
                <w:szCs w:val="21"/>
              </w:rPr>
            </w:r>
            <w:r/>
          </w:p>
        </w:tc>
      </w:tr>
      <w:tr>
        <w:trPr>
          <w:trHeight w:val="55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
                <w:bCs/>
                <w:color w:val="000000"/>
                <w:sz w:val="21"/>
                <w:szCs w:val="21"/>
                <w:highlight w:val="none"/>
                <w:lang w:val="zh-CN"/>
              </w:rPr>
              <w:t xml:space="preserve">★</w:t>
            </w:r>
            <w:r>
              <w:rPr>
                <w:rFonts w:ascii="Times New Roman" w:hAnsi="Times New Roman" w:eastAsia="宋体" w:cs="Times New Roman"/>
                <w:bCs/>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具备数据传输功能，</w:t>
            </w:r>
            <w:r>
              <w:rPr>
                <w:rFonts w:hint="eastAsia" w:ascii="Times New Roman" w:hAnsi="Times New Roman" w:eastAsia="宋体" w:cs="Times New Roman"/>
                <w:bCs/>
                <w:color w:val="000000"/>
                <w:sz w:val="21"/>
                <w:szCs w:val="21"/>
                <w:lang w:val="en-US" w:eastAsia="zh-CN"/>
              </w:rPr>
              <w:t xml:space="preserve">并</w:t>
            </w:r>
            <w:r>
              <w:rPr>
                <w:rFonts w:ascii="Times New Roman" w:hAnsi="Times New Roman" w:eastAsia="宋体" w:cs="Times New Roman"/>
                <w:bCs/>
                <w:color w:val="000000"/>
                <w:sz w:val="21"/>
                <w:szCs w:val="21"/>
              </w:rPr>
              <w:t xml:space="preserve">连接现有信息管理系统（学透通），</w:t>
            </w:r>
            <w:r>
              <w:rPr>
                <w:rFonts w:hint="eastAsia" w:ascii="Times New Roman" w:hAnsi="Times New Roman" w:eastAsia="宋体" w:cs="Times New Roman"/>
                <w:bCs/>
                <w:color w:val="000000"/>
                <w:sz w:val="21"/>
                <w:szCs w:val="21"/>
                <w:lang w:val="en-US" w:eastAsia="zh-CN"/>
              </w:rPr>
              <w:t xml:space="preserve">机器安装完成后实现</w:t>
            </w:r>
            <w:r>
              <w:rPr>
                <w:rFonts w:ascii="Times New Roman" w:hAnsi="Times New Roman" w:eastAsia="宋体" w:cs="Times New Roman"/>
                <w:bCs/>
                <w:color w:val="000000"/>
                <w:sz w:val="21"/>
                <w:szCs w:val="21"/>
              </w:rPr>
              <w:t xml:space="preserve">数据自动传输</w:t>
            </w:r>
            <w:r>
              <w:rPr>
                <w:rFonts w:hint="eastAsia" w:ascii="Times New Roman" w:hAnsi="Times New Roman" w:eastAsia="宋体" w:cs="Times New Roman"/>
                <w:bCs/>
                <w:color w:val="000000"/>
                <w:sz w:val="21"/>
                <w:szCs w:val="21"/>
                <w:lang w:eastAsia="zh-CN"/>
              </w:rPr>
              <w:t xml:space="preserve">，</w:t>
            </w:r>
            <w:r>
              <w:rPr>
                <w:rFonts w:hint="eastAsia" w:ascii="Times New Roman" w:hAnsi="Times New Roman" w:eastAsia="宋体" w:cs="Times New Roman"/>
                <w:bCs/>
                <w:color w:val="000000"/>
                <w:sz w:val="21"/>
                <w:szCs w:val="21"/>
                <w:lang w:val="en-US" w:eastAsia="zh-CN"/>
              </w:rPr>
              <w:t xml:space="preserve">相关费用由供应商承担</w:t>
            </w:r>
            <w:r>
              <w:rPr>
                <w:rFonts w:hint="eastAsia" w:ascii="Times New Roman" w:hAnsi="Times New Roman" w:eastAsia="宋体" w:cs="Times New Roman"/>
                <w:b/>
                <w:bCs w:val="0"/>
                <w:color w:val="000000"/>
                <w:sz w:val="21"/>
                <w:szCs w:val="21"/>
                <w:lang w:eastAsia="zh-CN"/>
              </w:rPr>
              <w:t xml:space="preserve">（</w:t>
            </w:r>
            <w:r>
              <w:rPr>
                <w:rFonts w:ascii="Times New Roman" w:hAnsi="Times New Roman" w:eastAsia="宋体" w:cs="Times New Roman"/>
                <w:b/>
                <w:bCs w:val="0"/>
                <w:color w:val="000000"/>
                <w:sz w:val="21"/>
                <w:szCs w:val="21"/>
              </w:rPr>
              <w:t xml:space="preserve">提供承诺函</w:t>
            </w:r>
            <w:r>
              <w:rPr>
                <w:rFonts w:hint="eastAsia" w:ascii="Times New Roman" w:hAnsi="Times New Roman" w:eastAsia="宋体" w:cs="Times New Roman"/>
                <w:b/>
                <w:bCs w:val="0"/>
                <w:color w:val="000000"/>
                <w:sz w:val="21"/>
                <w:szCs w:val="21"/>
                <w:lang w:val="en-US" w:eastAsia="zh-CN"/>
              </w:rPr>
              <w:t xml:space="preserve">并加盖公章</w:t>
            </w:r>
            <w:r>
              <w:rPr>
                <w:rFonts w:hint="eastAsia" w:ascii="Times New Roman" w:hAnsi="Times New Roman" w:eastAsia="宋体" w:cs="Times New Roman"/>
                <w:b/>
                <w:bCs w:val="0"/>
                <w:color w:val="000000"/>
                <w:sz w:val="21"/>
                <w:szCs w:val="21"/>
                <w:lang w:eastAsia="zh-CN"/>
              </w:rPr>
              <w:t xml:space="preserve">）</w:t>
            </w:r>
            <w:r>
              <w:rPr>
                <w:rFonts w:ascii="Times New Roman" w:hAnsi="Times New Roman" w:eastAsia="宋体" w:cs="Times New Roman"/>
                <w:bCs/>
                <w:color w:val="000000"/>
                <w:sz w:val="21"/>
                <w:szCs w:val="21"/>
              </w:rPr>
              <w:t xml:space="preserve">。</w:t>
            </w:r>
            <w:r>
              <w:rPr>
                <w:rFonts w:ascii="Times New Roman" w:hAnsi="Times New Roman" w:eastAsia="宋体" w:cs="Times New Roman"/>
                <w:bCs/>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11</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停电时，后备UPS电源保证血泵、动脉压监测、静脉压监测、漏血监测、空气监测、肝素泵持续运行。维持时间≥15分钟。</w:t>
            </w:r>
            <w:r>
              <w:rPr>
                <w:rFonts w:ascii="Times New Roman" w:hAnsi="Times New Roman" w:eastAsia="宋体" w:cs="Times New Roman"/>
                <w:color w:val="000000"/>
                <w:sz w:val="21"/>
                <w:szCs w:val="21"/>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w:t>
            </w:r>
            <w:r>
              <w:rPr>
                <w:rFonts w:ascii="Times New Roman" w:hAnsi="Times New Roman" w:eastAsia="宋体" w:cs="Times New Roman"/>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lang w:val="zh-CN"/>
              </w:rPr>
              <w:t xml:space="preserve">★</w:t>
            </w:r>
            <w:r>
              <w:rPr>
                <w:rFonts w:ascii="Times New Roman" w:hAnsi="Times New Roman" w:eastAsia="宋体" w:cs="Times New Roman"/>
                <w:bCs/>
                <w:color w:val="000000"/>
                <w:sz w:val="21"/>
                <w:szCs w:val="21"/>
                <w:highlight w:val="none"/>
              </w:rPr>
              <w:t xml:space="preserve"> </w:t>
            </w:r>
            <w:r>
              <w:rPr>
                <w:rFonts w:ascii="Times New Roman" w:hAnsi="Times New Roman" w:eastAsia="宋体" w:cs="Times New Roman"/>
                <w:color w:val="000000"/>
                <w:sz w:val="21"/>
                <w:szCs w:val="21"/>
                <w:highlight w:val="none"/>
              </w:rPr>
            </w:r>
            <w:r/>
          </w:p>
        </w:tc>
        <w:tc>
          <w:tcPr>
            <w:tcW w:w="4231" w:type="dxa"/>
            <w:vAlign w:val="center"/>
            <w:textDirection w:val="lrTb"/>
            <w:noWrap w:val="false"/>
          </w:tcPr>
          <w:p>
            <w:pPr>
              <w:pStyle w:val="1140"/>
              <w:jc w:val="left"/>
              <w:spacing w:line="360" w:lineRule="auto"/>
              <w:widowControl/>
              <w:rPr>
                <w:rFonts w:hint="eastAsia"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透析液吸管可联机清洗消毒。消毒脱钙一体化设计（只需一种消毒液，一次完成一体化消毒程序，达到消毒、脱钙、除铁、去蛋白效果，中间无需任何操作，时间不超过45分钟）。</w:t>
            </w:r>
            <w:r>
              <w:rPr>
                <w:rFonts w:hint="eastAsia" w:ascii="Times New Roman" w:hAnsi="Times New Roman" w:eastAsia="宋体" w:cs="Times New Roman"/>
                <w:b/>
                <w:bCs w:val="0"/>
                <w:color w:val="000000"/>
                <w:sz w:val="21"/>
                <w:szCs w:val="21"/>
                <w:lang w:eastAsia="zh-CN"/>
              </w:rPr>
              <w:t xml:space="preserve">（</w:t>
            </w:r>
            <w:r>
              <w:rPr>
                <w:rFonts w:ascii="Times New Roman" w:hAnsi="Times New Roman" w:eastAsia="宋体" w:cs="Times New Roman"/>
                <w:b/>
                <w:bCs w:val="0"/>
                <w:color w:val="000000"/>
                <w:sz w:val="21"/>
                <w:szCs w:val="21"/>
              </w:rPr>
              <w:t xml:space="preserve">提供承诺函</w:t>
            </w:r>
            <w:r>
              <w:rPr>
                <w:rFonts w:hint="eastAsia" w:ascii="Times New Roman" w:hAnsi="Times New Roman" w:eastAsia="宋体" w:cs="Times New Roman"/>
                <w:b/>
                <w:bCs w:val="0"/>
                <w:color w:val="000000"/>
                <w:sz w:val="21"/>
                <w:szCs w:val="21"/>
                <w:lang w:val="en-US" w:eastAsia="zh-CN"/>
              </w:rPr>
              <w:t xml:space="preserve">并加盖公章</w:t>
            </w:r>
            <w:r>
              <w:rPr>
                <w:rFonts w:hint="eastAsia" w:ascii="Times New Roman" w:hAnsi="Times New Roman" w:eastAsia="宋体" w:cs="Times New Roman"/>
                <w:b/>
                <w:bCs w:val="0"/>
                <w:color w:val="000000"/>
                <w:sz w:val="21"/>
                <w:szCs w:val="21"/>
                <w:lang w:eastAsia="zh-CN"/>
              </w:rPr>
              <w:t xml:space="preserve">）</w:t>
            </w:r>
            <w:r>
              <w:rPr>
                <w:rFonts w:hint="eastAsia" w:ascii="Times New Roman" w:hAnsi="Times New Roman" w:eastAsia="宋体" w:cs="Times New Roman"/>
                <w:color w:val="000000"/>
                <w:sz w:val="21"/>
                <w:szCs w:val="21"/>
                <w:lang w:eastAsia="zh-CN"/>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13</w:t>
            </w:r>
            <w:r>
              <w:rPr>
                <w:rFonts w:ascii="Times New Roman" w:hAnsi="Times New Roman" w:eastAsia="宋体" w:cs="Times New Roman"/>
                <w:bCs/>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lang w:val="zh-CN"/>
              </w:rPr>
            </w:r>
            <w:r/>
          </w:p>
        </w:tc>
        <w:tc>
          <w:tcPr>
            <w:tcW w:w="4231" w:type="dxa"/>
            <w:vAlign w:val="center"/>
            <w:textDirection w:val="lrTb"/>
            <w:noWrap w:val="false"/>
          </w:tcPr>
          <w:p>
            <w:pPr>
              <w:pStyle w:val="1140"/>
              <w:jc w:val="left"/>
              <w:spacing w:line="360" w:lineRule="auto"/>
              <w:widowControl/>
              <w:rPr>
                <w:rFonts w:hint="eastAsia" w:ascii="Times New Roman" w:hAnsi="Times New Roman" w:eastAsia="宋体" w:cs="Times New Roman"/>
                <w:bCs/>
                <w:color w:val="000000"/>
                <w:sz w:val="21"/>
                <w:szCs w:val="21"/>
                <w:lang w:eastAsia="zh-CN"/>
              </w:rPr>
            </w:pPr>
            <w:r>
              <w:rPr>
                <w:rFonts w:ascii="Times New Roman" w:hAnsi="Times New Roman" w:eastAsia="宋体" w:cs="Times New Roman"/>
                <w:bCs/>
                <w:color w:val="000000"/>
                <w:sz w:val="21"/>
                <w:szCs w:val="21"/>
              </w:rPr>
              <w:t xml:space="preserve">如采购人后续有需求，中标人可提供能满足一体化消毒的消毒液，费用不包含在本次投标总价内</w:t>
            </w:r>
            <w:r>
              <w:rPr>
                <w:rFonts w:hint="eastAsia" w:ascii="Times New Roman" w:hAnsi="Times New Roman" w:eastAsia="宋体" w:cs="Times New Roman"/>
                <w:bCs/>
                <w:color w:val="000000"/>
                <w:sz w:val="21"/>
                <w:szCs w:val="21"/>
                <w:lang w:eastAsia="zh-CN"/>
              </w:rPr>
              <w:t xml:space="preserve">。</w:t>
            </w:r>
            <w:r>
              <w:rPr>
                <w:rFonts w:hint="eastAsia" w:ascii="Times New Roman" w:hAnsi="Times New Roman" w:eastAsia="宋体" w:cs="Times New Roman"/>
                <w:bCs/>
                <w:color w:val="000000"/>
                <w:sz w:val="21"/>
                <w:szCs w:val="21"/>
                <w:lang w:eastAsia="zh-CN"/>
              </w:rPr>
            </w:r>
            <w:r/>
          </w:p>
        </w:tc>
      </w:tr>
      <w:tr>
        <w:trPr>
          <w:trHeight w:val="70"/>
        </w:trPr>
        <w:tc>
          <w:tcPr>
            <w:tcW w:w="334" w:type="dxa"/>
            <w:vAlign w:val="center"/>
            <w:textDirection w:val="lrTb"/>
            <w:noWrap w:val="false"/>
          </w:tcPr>
          <w:p>
            <w:pPr>
              <w:pStyle w:val="114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14</w:t>
            </w:r>
            <w:r>
              <w:rPr>
                <w:rFonts w:ascii="Times New Roman" w:hAnsi="Times New Roman" w:eastAsia="宋体" w:cs="Times New Roman"/>
                <w:bCs/>
                <w:color w:val="000000"/>
                <w:sz w:val="21"/>
                <w:szCs w:val="21"/>
              </w:rPr>
            </w:r>
            <w:r/>
          </w:p>
        </w:tc>
        <w:tc>
          <w:tcPr>
            <w:tcW w:w="433" w:type="dxa"/>
            <w:vAlign w:val="center"/>
            <w:textDirection w:val="lrTb"/>
            <w:noWrap w:val="false"/>
          </w:tcPr>
          <w:p>
            <w:pPr>
              <w:pStyle w:val="1140"/>
              <w:jc w:val="center"/>
              <w:spacing w:line="360" w:lineRule="auto"/>
              <w:widowControl/>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lang w:val="zh-CN"/>
              </w:rPr>
              <w:t xml:space="preserve">★</w:t>
            </w:r>
            <w:r>
              <w:rPr>
                <w:rFonts w:ascii="Times New Roman" w:hAnsi="Times New Roman" w:eastAsia="宋体" w:cs="Times New Roman"/>
                <w:b/>
                <w:bCs/>
                <w:color w:val="000000"/>
                <w:sz w:val="21"/>
                <w:szCs w:val="21"/>
                <w:highlight w:val="none"/>
                <w:lang w:val="zh-CN"/>
              </w:rPr>
            </w:r>
            <w:r/>
          </w:p>
        </w:tc>
        <w:tc>
          <w:tcPr>
            <w:tcW w:w="4231" w:type="dxa"/>
            <w:vAlign w:val="center"/>
            <w:textDirection w:val="lrTb"/>
            <w:noWrap w:val="false"/>
          </w:tcPr>
          <w:p>
            <w:pPr>
              <w:pStyle w:val="1140"/>
              <w:jc w:val="left"/>
              <w:spacing w:line="360" w:lineRule="auto"/>
              <w:widowControl/>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本项目涉及的所有耗材需提供江苏省医疗保障公共服务平台-药品和医用耗材管理子系统中含有采购价及耗材编码页的网页截图并加盖公章。</w:t>
            </w:r>
            <w:r>
              <w:rPr>
                <w:rFonts w:ascii="Times New Roman" w:hAnsi="Times New Roman" w:eastAsia="宋体" w:cs="Times New Roman"/>
                <w:bCs/>
                <w:color w:val="000000"/>
                <w:sz w:val="21"/>
                <w:szCs w:val="21"/>
              </w:rPr>
            </w:r>
            <w:r/>
          </w:p>
        </w:tc>
      </w:tr>
    </w:tbl>
    <w:p>
      <w:pPr>
        <w:pStyle w:val="1140"/>
        <w:jc w:val="left"/>
        <w:spacing w:line="360" w:lineRule="auto"/>
        <w:rPr>
          <w:color w:val="000000"/>
          <w:szCs w:val="21"/>
          <w:highlight w:val="none"/>
        </w:rPr>
      </w:pPr>
      <w:r>
        <w:rPr>
          <w:color w:val="000000"/>
          <w:szCs w:val="21"/>
          <w:highlight w:val="none"/>
        </w:rPr>
      </w:r>
      <w:r/>
    </w:p>
    <w:p>
      <w:pPr>
        <w:pStyle w:val="1140"/>
        <w:jc w:val="left"/>
        <w:spacing w:line="360" w:lineRule="auto"/>
        <w:rPr>
          <w:b/>
          <w:bCs/>
          <w:color w:val="000000"/>
          <w:szCs w:val="21"/>
          <w:highlight w:val="none"/>
        </w:rPr>
      </w:pPr>
      <w:r>
        <w:rPr>
          <w:b/>
          <w:bCs/>
          <w:color w:val="000000"/>
          <w:szCs w:val="21"/>
          <w:highlight w:val="none"/>
        </w:rPr>
      </w:r>
      <w:r/>
    </w:p>
    <w:p>
      <w:pPr>
        <w:pStyle w:val="1140"/>
        <w:jc w:val="left"/>
        <w:spacing w:line="360" w:lineRule="auto"/>
        <w:rPr>
          <w:b/>
          <w:bCs/>
          <w:color w:val="000000"/>
          <w:highlight w:val="none"/>
        </w:rPr>
      </w:pPr>
      <w:r>
        <w:rPr>
          <w:b/>
          <w:bCs/>
          <w:color w:val="000000"/>
          <w:szCs w:val="21"/>
          <w:highlight w:val="none"/>
        </w:rPr>
        <w:t xml:space="preserve">三、</w:t>
      </w:r>
      <w:r>
        <w:rPr>
          <w:b/>
          <w:bCs/>
          <w:color w:val="000000"/>
          <w:szCs w:val="21"/>
          <w:highlight w:val="none"/>
          <w:lang w:val="zh-CN"/>
        </w:rPr>
        <w:t xml:space="preserve">商务和服务需求（以下内容均须全部满足，否则作无效投标处理）</w:t>
      </w:r>
      <w:r>
        <w:rPr>
          <w:b/>
          <w:bCs/>
          <w:color w:val="000000"/>
          <w:highlight w:val="none"/>
        </w:rPr>
      </w:r>
      <w:r/>
    </w:p>
    <w:tbl>
      <w:tblPr>
        <w:tblW w:w="49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964"/>
        <w:gridCol w:w="7172"/>
      </w:tblGrid>
      <w:tr>
        <w:trPr>
          <w:trHeight w:val="620"/>
        </w:trPr>
        <w:tc>
          <w:tcPr>
            <w:tcW w:w="356"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序号</w:t>
            </w:r>
            <w:r>
              <w:rPr>
                <w:color w:val="000000"/>
                <w:szCs w:val="21"/>
                <w:highlight w:val="none"/>
                <w:lang w:val="zh-CN"/>
              </w:rPr>
            </w:r>
            <w:r/>
          </w:p>
        </w:tc>
        <w:tc>
          <w:tcPr>
            <w:tcW w:w="998"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商务和服务项目</w:t>
            </w:r>
            <w:r>
              <w:rPr>
                <w:color w:val="000000"/>
                <w:szCs w:val="21"/>
                <w:highlight w:val="none"/>
                <w:lang w:val="zh-CN"/>
              </w:rPr>
            </w:r>
            <w:r/>
          </w:p>
        </w:tc>
        <w:tc>
          <w:tcPr>
            <w:tcW w:w="3645"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商务和服务要求</w:t>
            </w:r>
            <w:r>
              <w:rPr>
                <w:color w:val="000000"/>
                <w:szCs w:val="21"/>
                <w:highlight w:val="none"/>
                <w:lang w:val="zh-CN"/>
              </w:rPr>
            </w:r>
            <w:r/>
          </w:p>
        </w:tc>
      </w:tr>
      <w:tr>
        <w:trPr>
          <w:trHeight w:val="90"/>
        </w:trPr>
        <w:tc>
          <w:tcPr>
            <w:tcW w:w="356"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交货期</w:t>
            </w:r>
            <w:r>
              <w:rPr>
                <w:color w:val="000000"/>
                <w:szCs w:val="21"/>
                <w:highlight w:val="none"/>
                <w:lang w:val="zh-CN"/>
              </w:rPr>
            </w:r>
            <w:r/>
          </w:p>
        </w:tc>
        <w:tc>
          <w:tcPr>
            <w:tcW w:w="3645" w:type="dxa"/>
            <w:vAlign w:val="center"/>
            <w:textDirection w:val="lrTb"/>
            <w:noWrap w:val="false"/>
          </w:tcPr>
          <w:p>
            <w:pPr>
              <w:pStyle w:val="1140"/>
              <w:spacing w:line="360" w:lineRule="auto"/>
              <w:widowControl/>
              <w:rPr>
                <w:color w:val="000000"/>
                <w:szCs w:val="21"/>
                <w:highlight w:val="none"/>
                <w:lang w:val="zh-CN"/>
              </w:rPr>
            </w:pPr>
            <w:r>
              <w:rPr>
                <w:rFonts w:hint="eastAsia"/>
                <w:color w:val="000000"/>
                <w:szCs w:val="21"/>
                <w:highlight w:val="none"/>
              </w:rPr>
              <w:t xml:space="preserve">合同生效后</w:t>
            </w:r>
            <w:r>
              <w:rPr>
                <w:rFonts w:hint="eastAsia"/>
                <w:color w:val="000000"/>
                <w:szCs w:val="21"/>
                <w:highlight w:val="none"/>
                <w:lang w:val="en-US" w:eastAsia="zh-CN"/>
              </w:rPr>
              <w:t xml:space="preserve">12</w:t>
            </w:r>
            <w:r>
              <w:rPr>
                <w:rFonts w:hint="eastAsia"/>
                <w:color w:val="000000"/>
                <w:szCs w:val="21"/>
                <w:highlight w:val="none"/>
              </w:rPr>
              <w:t xml:space="preserve">个月内按照医院需求分批供货，通知供货后一周内到货</w:t>
            </w:r>
            <w:r>
              <w:rPr>
                <w:rFonts w:hint="eastAsia"/>
                <w:color w:val="000000"/>
                <w:szCs w:val="21"/>
                <w:highlight w:val="none"/>
                <w:lang w:val="zh-CN"/>
              </w:rPr>
              <w:t xml:space="preserve">。</w:t>
            </w:r>
            <w:r>
              <w:rPr>
                <w:color w:val="000000"/>
                <w:szCs w:val="21"/>
                <w:highlight w:val="none"/>
                <w:lang w:val="zh-CN"/>
              </w:rPr>
            </w:r>
            <w:r/>
          </w:p>
        </w:tc>
      </w:tr>
      <w:tr>
        <w:trPr>
          <w:trHeight w:val="549"/>
        </w:trPr>
        <w:tc>
          <w:tcPr>
            <w:tcW w:w="356"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2</w:t>
            </w:r>
            <w:r>
              <w:rPr>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质保</w:t>
            </w:r>
            <w:r>
              <w:rPr>
                <w:color w:val="000000"/>
                <w:szCs w:val="21"/>
                <w:highlight w:val="none"/>
                <w:lang w:val="zh-CN"/>
              </w:rPr>
              <w:t xml:space="preserve">期</w:t>
            </w:r>
            <w:r>
              <w:rPr>
                <w:color w:val="000000"/>
                <w:szCs w:val="21"/>
                <w:highlight w:val="none"/>
                <w:lang w:val="zh-CN"/>
              </w:rPr>
            </w:r>
            <w:r/>
          </w:p>
        </w:tc>
        <w:tc>
          <w:tcPr>
            <w:tcW w:w="3645" w:type="dxa"/>
            <w:vAlign w:val="center"/>
            <w:textDirection w:val="lrTb"/>
            <w:noWrap w:val="false"/>
          </w:tcPr>
          <w:p>
            <w:pPr>
              <w:pStyle w:val="1140"/>
              <w:spacing w:line="360" w:lineRule="auto"/>
              <w:widowControl/>
              <w:rPr>
                <w:color w:val="000000"/>
                <w:szCs w:val="21"/>
                <w:highlight w:val="none"/>
                <w:lang w:val="zh-CN"/>
              </w:rPr>
            </w:pPr>
            <w:r>
              <w:rPr>
                <w:rFonts w:hint="eastAsia"/>
                <w:color w:val="000000"/>
                <w:szCs w:val="21"/>
                <w:highlight w:val="none"/>
                <w:lang w:val="zh-CN"/>
              </w:rPr>
              <w:t xml:space="preserve">整机原厂保修</w:t>
            </w:r>
            <w:r>
              <w:rPr>
                <w:rFonts w:hint="eastAsia"/>
                <w:color w:val="000000"/>
                <w:szCs w:val="21"/>
                <w:highlight w:val="none"/>
                <w:lang w:val="en-US" w:eastAsia="zh-CN"/>
              </w:rPr>
              <w:t xml:space="preserve">至少</w:t>
            </w:r>
            <w:r>
              <w:rPr>
                <w:rFonts w:hint="eastAsia"/>
                <w:color w:val="000000"/>
                <w:szCs w:val="21"/>
                <w:highlight w:val="none"/>
                <w:lang w:val="zh-CN"/>
              </w:rPr>
              <w:t xml:space="preserve">5年（提供书面承诺函，写明原厂质保期限）。</w:t>
            </w:r>
            <w:r>
              <w:rPr>
                <w:color w:val="000000"/>
                <w:szCs w:val="21"/>
                <w:highlight w:val="none"/>
                <w:lang w:val="zh-CN"/>
              </w:rPr>
            </w:r>
            <w:r/>
          </w:p>
        </w:tc>
      </w:tr>
      <w:tr>
        <w:trPr/>
        <w:tc>
          <w:tcPr>
            <w:tcW w:w="356"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3</w:t>
            </w:r>
            <w:r>
              <w:rPr>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售后服务承诺</w:t>
            </w:r>
            <w:r>
              <w:rPr>
                <w:color w:val="000000"/>
                <w:szCs w:val="21"/>
                <w:highlight w:val="none"/>
                <w:lang w:val="zh-CN"/>
              </w:rPr>
            </w:r>
            <w:r/>
          </w:p>
        </w:tc>
        <w:tc>
          <w:tcPr>
            <w:tcW w:w="3645" w:type="dxa"/>
            <w:vAlign w:val="center"/>
            <w:textDirection w:val="lrTb"/>
            <w:noWrap w:val="false"/>
          </w:tcPr>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（1）在保修期内，如有损坏或质量不合格者，卖方应及时给予修复和更换，其修理和更换应免费。正常修理周期和修理期间需提供免费测试。</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（2）在保修期期满前一个月，供应商必须指派专业人员上门检测仪器，确保仪器的指标符合验收标准，如有问题应作为保修内容给予免费处理。</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（3）在保修期外，卖方为仪器提供终身维修服务，维修问题出现时，按技术参数服务要求相应条款处理。</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（4）在保修期内，如果原厂方鉴定设备因为人为损坏，厂方须出具具有法定权威性第三方检测证明，否则一律视为保修范围内容处理。</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（5）承诺在硬件条件允许的情况下，终身免费升级软件，并对新软件的功能免费培训。配备专业维修工程师，提供及时有效的售后服务并配合包括所有附件在内的安装、调试和验收。</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（6）终身提供免费的应用咨询及技术帮助。</w:t>
            </w:r>
            <w:r>
              <w:rPr>
                <w:rFonts w:hint="eastAsia"/>
                <w:color w:val="000000"/>
                <w:szCs w:val="21"/>
                <w:highlight w:val="none"/>
                <w:lang w:val="zh-CN"/>
              </w:rPr>
            </w:r>
            <w:r/>
          </w:p>
        </w:tc>
      </w:tr>
      <w:tr>
        <w:trPr/>
        <w:tc>
          <w:tcPr>
            <w:tcW w:w="356" w:type="dxa"/>
            <w:vAlign w:val="center"/>
            <w:textDirection w:val="lrTb"/>
            <w:noWrap w:val="false"/>
          </w:tcPr>
          <w:p>
            <w:pPr>
              <w:pStyle w:val="1140"/>
              <w:jc w:val="center"/>
              <w:spacing w:line="360" w:lineRule="auto"/>
              <w:rPr>
                <w:rFonts w:hint="eastAsia" w:eastAsia="宋体"/>
                <w:color w:val="000000"/>
                <w:szCs w:val="21"/>
                <w:highlight w:val="none"/>
                <w:lang w:eastAsia="zh-CN"/>
              </w:rPr>
            </w:pPr>
            <w:r>
              <w:rPr>
                <w:rFonts w:hint="eastAsia"/>
                <w:color w:val="000000"/>
                <w:szCs w:val="21"/>
                <w:highlight w:val="none"/>
                <w:lang w:val="en-US" w:eastAsia="zh-CN"/>
              </w:rPr>
              <w:t xml:space="preserve">4</w:t>
            </w:r>
            <w:r>
              <w:rPr>
                <w:rFonts w:hint="eastAsia" w:eastAsia="宋体"/>
                <w:color w:val="000000"/>
                <w:szCs w:val="21"/>
                <w:highlight w:val="none"/>
                <w:lang w:eastAsia="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培训</w:t>
            </w:r>
            <w:r>
              <w:rPr>
                <w:color w:val="000000"/>
                <w:szCs w:val="21"/>
                <w:highlight w:val="none"/>
                <w:lang w:val="zh-CN"/>
              </w:rPr>
            </w:r>
            <w:r/>
          </w:p>
        </w:tc>
        <w:tc>
          <w:tcPr>
            <w:tcW w:w="3645" w:type="dxa"/>
            <w:vAlign w:val="center"/>
            <w:textDirection w:val="lrTb"/>
            <w:noWrap w:val="false"/>
          </w:tcPr>
          <w:p>
            <w:pPr>
              <w:pStyle w:val="1140"/>
              <w:spacing w:line="360" w:lineRule="auto"/>
              <w:widowControl/>
              <w:rPr>
                <w:rFonts w:hint="eastAsia" w:eastAsia="宋体"/>
                <w:color w:val="000000"/>
                <w:szCs w:val="21"/>
                <w:highlight w:val="none"/>
                <w:lang w:eastAsia="zh-CN"/>
              </w:rPr>
            </w:pPr>
            <w:r>
              <w:rPr>
                <w:rFonts w:hint="eastAsia" w:ascii="宋体" w:hAnsi="宋体" w:cs="宋体"/>
                <w:color w:val="000000"/>
                <w:szCs w:val="21"/>
                <w:highlight w:val="none"/>
              </w:rPr>
              <w:t xml:space="preserve">按照技术参数</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lang w:val="en-US" w:eastAsia="zh-CN"/>
              </w:rPr>
              <w:t xml:space="preserve">要求，</w:t>
            </w:r>
            <w:r>
              <w:rPr>
                <w:rFonts w:hint="eastAsia" w:ascii="微软雅黑" w:hAnsi="微软雅黑" w:cs="微软雅黑"/>
                <w:bCs/>
                <w:color w:val="000000"/>
                <w:szCs w:val="21"/>
                <w:highlight w:val="none"/>
              </w:rPr>
              <w:t xml:space="preserve">提供人员操作培训、维修保养培训、以及相关科研教育等进阶培训</w:t>
            </w:r>
            <w:r>
              <w:rPr>
                <w:rFonts w:hint="eastAsia" w:ascii="微软雅黑" w:hAnsi="微软雅黑" w:cs="微软雅黑"/>
                <w:bCs/>
                <w:color w:val="000000"/>
                <w:szCs w:val="21"/>
                <w:highlight w:val="none"/>
                <w:lang w:eastAsia="zh-CN"/>
              </w:rPr>
              <w:t xml:space="preserve">。</w:t>
            </w:r>
            <w:r>
              <w:rPr>
                <w:rFonts w:hint="eastAsia" w:eastAsia="宋体"/>
                <w:color w:val="000000"/>
                <w:szCs w:val="21"/>
                <w:highlight w:val="none"/>
                <w:lang w:eastAsia="zh-CN"/>
              </w:rPr>
            </w:r>
            <w:r/>
          </w:p>
        </w:tc>
      </w:tr>
      <w:tr>
        <w:trPr/>
        <w:tc>
          <w:tcPr>
            <w:tcW w:w="356" w:type="dxa"/>
            <w:vAlign w:val="center"/>
            <w:textDirection w:val="lrTb"/>
            <w:noWrap w:val="false"/>
          </w:tcPr>
          <w:p>
            <w:pPr>
              <w:pStyle w:val="1140"/>
              <w:jc w:val="center"/>
              <w:spacing w:before="156" w:after="156" w:line="360" w:lineRule="auto"/>
              <w:rPr>
                <w:rFonts w:hint="eastAsia" w:eastAsia="宋体"/>
                <w:color w:val="000000"/>
                <w:szCs w:val="21"/>
                <w:highlight w:val="none"/>
                <w:lang w:val="zh-CN" w:eastAsia="zh-CN"/>
              </w:rPr>
            </w:pPr>
            <w:r>
              <w:rPr>
                <w:rFonts w:hint="eastAsia"/>
                <w:color w:val="000000"/>
                <w:szCs w:val="21"/>
                <w:highlight w:val="none"/>
                <w:lang w:val="en-US" w:eastAsia="zh-CN"/>
              </w:rPr>
              <w:t xml:space="preserve">5</w:t>
            </w:r>
            <w:r>
              <w:rPr>
                <w:rFonts w:hint="eastAsia" w:eastAsia="宋体"/>
                <w:color w:val="000000"/>
                <w:szCs w:val="21"/>
                <w:highlight w:val="none"/>
                <w:lang w:val="zh-CN" w:eastAsia="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验收标准</w:t>
            </w:r>
            <w:r>
              <w:rPr>
                <w:color w:val="000000"/>
                <w:szCs w:val="21"/>
                <w:highlight w:val="none"/>
                <w:lang w:val="zh-CN"/>
              </w:rPr>
            </w:r>
            <w:r/>
          </w:p>
        </w:tc>
        <w:tc>
          <w:tcPr>
            <w:tcW w:w="3645" w:type="dxa"/>
            <w:vAlign w:val="top"/>
            <w:textDirection w:val="lrTb"/>
            <w:noWrap w:val="false"/>
          </w:tcPr>
          <w:p>
            <w:pPr>
              <w:pStyle w:val="1140"/>
              <w:spacing w:line="360" w:lineRule="auto"/>
              <w:widowControl/>
              <w:rPr>
                <w:rFonts w:hint="eastAsia"/>
                <w:color w:val="000000"/>
                <w:szCs w:val="21"/>
                <w:highlight w:val="none"/>
                <w:lang w:val="zh-CN"/>
              </w:rPr>
            </w:pPr>
            <w:r>
              <w:rPr>
                <w:rFonts w:hint="eastAsia" w:ascii="宋体" w:hAnsi="宋体" w:cs="宋体"/>
                <w:color w:val="000000"/>
                <w:szCs w:val="21"/>
              </w:rPr>
              <w:t xml:space="preserve">按供货方合格证书技术资料中的精度、质量要求和双方签订的合同技术附件所规定的条款进行验收</w:t>
            </w:r>
            <w:r>
              <w:rPr>
                <w:rFonts w:hint="eastAsia" w:ascii="宋体" w:hAnsi="宋体" w:cs="宋体"/>
                <w:color w:val="000000"/>
                <w:szCs w:val="21"/>
                <w:highlight w:val="none"/>
              </w:rPr>
              <w:t xml:space="preserve">。</w:t>
            </w:r>
            <w:r>
              <w:rPr>
                <w:rFonts w:hint="eastAsia"/>
                <w:color w:val="000000"/>
                <w:szCs w:val="21"/>
                <w:highlight w:val="none"/>
                <w:lang w:val="zh-CN"/>
              </w:rPr>
            </w:r>
            <w:r/>
          </w:p>
        </w:tc>
      </w:tr>
      <w:tr>
        <w:trPr>
          <w:trHeight w:val="652"/>
        </w:trPr>
        <w:tc>
          <w:tcPr>
            <w:tcW w:w="356" w:type="dxa"/>
            <w:vAlign w:val="center"/>
            <w:textDirection w:val="lrTb"/>
            <w:noWrap w:val="false"/>
          </w:tcPr>
          <w:p>
            <w:pPr>
              <w:pStyle w:val="1140"/>
              <w:jc w:val="center"/>
              <w:spacing w:before="156" w:after="156" w:line="360" w:lineRule="auto"/>
              <w:rPr>
                <w:rFonts w:hint="eastAsia" w:eastAsia="宋体"/>
                <w:color w:val="000000"/>
                <w:szCs w:val="21"/>
                <w:highlight w:val="none"/>
                <w:lang w:val="zh-CN" w:eastAsia="zh-CN"/>
              </w:rPr>
            </w:pPr>
            <w:r>
              <w:rPr>
                <w:rFonts w:hint="eastAsia"/>
                <w:color w:val="000000"/>
                <w:szCs w:val="21"/>
                <w:highlight w:val="none"/>
                <w:lang w:val="en-US" w:eastAsia="zh-CN"/>
              </w:rPr>
              <w:t xml:space="preserve">6</w:t>
            </w:r>
            <w:r>
              <w:rPr>
                <w:rFonts w:hint="eastAsia" w:eastAsia="宋体"/>
                <w:color w:val="000000"/>
                <w:szCs w:val="21"/>
                <w:highlight w:val="none"/>
                <w:lang w:val="zh-CN" w:eastAsia="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交货地点</w:t>
            </w:r>
            <w:r>
              <w:rPr>
                <w:color w:val="000000"/>
                <w:szCs w:val="21"/>
                <w:highlight w:val="none"/>
                <w:lang w:val="zh-CN"/>
              </w:rPr>
            </w:r>
            <w:r/>
          </w:p>
        </w:tc>
        <w:tc>
          <w:tcPr>
            <w:tcW w:w="3645" w:type="dxa"/>
            <w:vAlign w:val="center"/>
            <w:textDirection w:val="lrTb"/>
            <w:noWrap w:val="false"/>
          </w:tcPr>
          <w:p>
            <w:pPr>
              <w:pStyle w:val="1140"/>
              <w:spacing w:line="360" w:lineRule="auto"/>
              <w:widowControl/>
              <w:rPr>
                <w:color w:val="000000"/>
                <w:szCs w:val="21"/>
                <w:highlight w:val="none"/>
                <w:lang w:val="zh-CN"/>
              </w:rPr>
            </w:pPr>
            <w:r>
              <w:rPr>
                <w:rFonts w:hint="eastAsia" w:hAnsi="宋体" w:cs="宋体"/>
                <w:bCs/>
                <w:color w:val="000000"/>
                <w:szCs w:val="21"/>
                <w:highlight w:val="none"/>
              </w:rPr>
              <w:t xml:space="preserve">江苏大学附属医院（由医院相关人员指定的安装地点）</w:t>
            </w:r>
            <w:r>
              <w:rPr>
                <w:color w:val="000000"/>
                <w:szCs w:val="21"/>
                <w:highlight w:val="none"/>
                <w:lang w:val="zh-CN"/>
              </w:rPr>
            </w:r>
            <w:r/>
          </w:p>
        </w:tc>
      </w:tr>
      <w:tr>
        <w:trPr/>
        <w:tc>
          <w:tcPr>
            <w:tcW w:w="356" w:type="dxa"/>
            <w:vAlign w:val="center"/>
            <w:textDirection w:val="lrTb"/>
            <w:noWrap w:val="false"/>
          </w:tcPr>
          <w:p>
            <w:pPr>
              <w:pStyle w:val="1140"/>
              <w:jc w:val="center"/>
              <w:spacing w:before="156" w:after="156" w:line="360" w:lineRule="auto"/>
              <w:rPr>
                <w:rFonts w:hint="eastAsia" w:eastAsia="宋体"/>
                <w:color w:val="000000"/>
                <w:szCs w:val="21"/>
                <w:highlight w:val="none"/>
                <w:lang w:eastAsia="zh-CN"/>
              </w:rPr>
            </w:pPr>
            <w:r>
              <w:rPr>
                <w:rFonts w:hint="eastAsia"/>
                <w:color w:val="000000"/>
                <w:szCs w:val="21"/>
                <w:highlight w:val="none"/>
                <w:lang w:val="en-US" w:eastAsia="zh-CN"/>
              </w:rPr>
              <w:t xml:space="preserve">7</w:t>
            </w:r>
            <w:r>
              <w:rPr>
                <w:rFonts w:hint="eastAsia" w:eastAsia="宋体"/>
                <w:color w:val="000000"/>
                <w:szCs w:val="21"/>
                <w:highlight w:val="none"/>
                <w:lang w:eastAsia="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付款方式</w:t>
            </w:r>
            <w:r>
              <w:rPr>
                <w:color w:val="000000"/>
                <w:szCs w:val="21"/>
                <w:highlight w:val="none"/>
                <w:lang w:val="zh-CN"/>
              </w:rPr>
            </w:r>
            <w:r/>
          </w:p>
        </w:tc>
        <w:tc>
          <w:tcPr>
            <w:tcW w:w="3645" w:type="dxa"/>
            <w:vAlign w:val="top"/>
            <w:textDirection w:val="lrTb"/>
            <w:noWrap w:val="false"/>
          </w:tcPr>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1、货到安装、全面验收合格并能够正常使用后，凭甲方出具的全面验收合格报告，乙方提供合规发票、合同复印件及其它所需票据供甲方入库。</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2、甲方自设备入库之日起6个月内，向乙方支付合同总货款的80%。</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3、设备免费保修期为1年时，在设备能够持续保证临床正常稳定使用且乙方无未处理违约事项的前提下，乙方在保修期满后向甲方提交尾款付款申请，甲方在收到乙方尾款付款申请后3个月内向乙方支付合同总货款的20%。</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4、设备免费保修期大于1年时，在设备能够持续保证临床正常稳定使用1年后，甲方在3个月内向乙方支付合同总货款的10%，剩余10%货款待本合同约定的设备保修期届满，且满足以下条件后支付：</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（1）乙方已完全履行本合同约定的全部义务（包括但不限于质保义务）。</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（2）乙方在保修期满后向甲方提交尾款付款申请。</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（3）甲方审核确认上述条件均满足且乙方无未处理违约事项后，在收到乙方尾款付款申请后3个月内付清10%尾款。</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5、若因乙方未及时提供合规发票或存在其他违约行为，导致设备入库手续延迟，所有付款节点均按实际入库日期相应顺延。</w:t>
            </w:r>
            <w:r>
              <w:rPr>
                <w:rFonts w:hint="eastAsia"/>
                <w:color w:val="000000"/>
                <w:szCs w:val="21"/>
                <w:highlight w:val="none"/>
                <w:lang w:val="zh-CN"/>
              </w:rPr>
            </w:r>
            <w:r/>
          </w:p>
          <w:p>
            <w:pPr>
              <w:pStyle w:val="1140"/>
              <w:spacing w:line="360" w:lineRule="auto"/>
              <w:widowControl/>
              <w:rPr>
                <w:color w:val="000000"/>
                <w:szCs w:val="21"/>
                <w:highlight w:val="none"/>
                <w:lang w:val="zh-CN"/>
              </w:rPr>
            </w:pPr>
            <w:r>
              <w:rPr>
                <w:rFonts w:hint="eastAsia"/>
                <w:color w:val="000000"/>
                <w:szCs w:val="21"/>
                <w:highlight w:val="none"/>
                <w:lang w:val="zh-CN"/>
              </w:rPr>
              <w:t xml:space="preserve">6、本条款未尽事宜或遇特殊情况，由双方另行协商解决。</w:t>
            </w:r>
            <w:r>
              <w:rPr>
                <w:color w:val="000000"/>
                <w:szCs w:val="21"/>
                <w:highlight w:val="none"/>
                <w:lang w:val="zh-CN"/>
              </w:rPr>
            </w:r>
            <w:r/>
          </w:p>
        </w:tc>
      </w:tr>
    </w:tbl>
    <w:p>
      <w:pPr>
        <w:pStyle w:val="1140"/>
        <w:jc w:val="center"/>
        <w:spacing w:line="360" w:lineRule="auto"/>
        <w:rPr>
          <w:b/>
          <w:color w:val="000000"/>
          <w:sz w:val="28"/>
          <w:szCs w:val="28"/>
          <w:highlight w:val="none"/>
        </w:rPr>
        <w:outlineLvl w:val="0"/>
      </w:pPr>
      <w:r>
        <w:rPr>
          <w:color w:val="000000"/>
          <w:szCs w:val="21"/>
          <w:highlight w:val="none"/>
        </w:rPr>
        <w:br w:type="page" w:clear="all"/>
      </w:r>
      <w:bookmarkStart w:id="218" w:name="_Toc4696425"/>
      <w:r/>
      <w:bookmarkStart w:id="219" w:name="_Toc28074"/>
      <w:r>
        <w:rPr>
          <w:b/>
          <w:color w:val="000000"/>
          <w:sz w:val="28"/>
          <w:szCs w:val="28"/>
          <w:highlight w:val="none"/>
        </w:rPr>
        <w:t xml:space="preserve">第五章 </w:t>
      </w:r>
      <w:bookmarkEnd w:id="217"/>
      <w:r>
        <w:rPr>
          <w:b/>
          <w:color w:val="000000"/>
          <w:sz w:val="28"/>
          <w:szCs w:val="28"/>
          <w:highlight w:val="none"/>
        </w:rPr>
        <w:t xml:space="preserve">拟签订的合同文本</w:t>
      </w:r>
      <w:bookmarkEnd w:id="218"/>
      <w:r/>
      <w:bookmarkEnd w:id="219"/>
      <w:r>
        <w:rPr>
          <w:b/>
          <w:color w:val="000000"/>
          <w:sz w:val="28"/>
          <w:szCs w:val="28"/>
          <w:highlight w:val="none"/>
        </w:rPr>
      </w:r>
      <w:r/>
    </w:p>
    <w:p>
      <w:pPr>
        <w:pStyle w:val="1140"/>
        <w:jc w:val="center"/>
        <w:spacing w:line="440" w:lineRule="exact"/>
        <w:rPr>
          <w:b/>
          <w:color w:val="000000"/>
          <w:sz w:val="28"/>
          <w:szCs w:val="28"/>
          <w:highlight w:val="none"/>
        </w:rPr>
      </w:pPr>
      <w:r/>
      <w:bookmarkStart w:id="220" w:name="_Toc6085"/>
      <w:r/>
      <w:bookmarkStart w:id="221" w:name="_Toc4696426"/>
      <w:r/>
      <w:bookmarkStart w:id="222" w:name="_Toc19"/>
      <w:r/>
      <w:bookmarkStart w:id="223" w:name="_Toc11219"/>
      <w:r>
        <w:rPr>
          <w:b/>
          <w:color w:val="000000"/>
          <w:sz w:val="28"/>
          <w:szCs w:val="28"/>
          <w:highlight w:val="none"/>
        </w:rPr>
        <w:t xml:space="preserve">（参考格式，本合同内容条款在正式签署前可具体补充细化，仅作参考，最终合同以采购人法务审查通过的版本为准）</w:t>
      </w:r>
      <w:bookmarkEnd w:id="220"/>
      <w:r>
        <w:rPr>
          <w:b/>
          <w:color w:val="000000"/>
          <w:sz w:val="28"/>
          <w:szCs w:val="28"/>
          <w:highlight w:val="none"/>
        </w:rPr>
      </w:r>
      <w:r/>
    </w:p>
    <w:p>
      <w:pPr>
        <w:pStyle w:val="1140"/>
        <w:rPr>
          <w:b/>
          <w:color w:val="000000"/>
          <w:szCs w:val="21"/>
          <w:highlight w:val="none"/>
        </w:rPr>
      </w:pPr>
      <w:r>
        <w:rPr>
          <w:b/>
          <w:color w:val="000000"/>
          <w:szCs w:val="21"/>
          <w:highlight w:val="none"/>
        </w:rPr>
        <w:t xml:space="preserve">    </w:t>
      </w:r>
      <w:r>
        <w:rPr>
          <w:b/>
          <w:color w:val="000000"/>
          <w:szCs w:val="21"/>
          <w:highlight w:val="none"/>
        </w:rPr>
      </w:r>
      <w:r/>
    </w:p>
    <w:p>
      <w:pPr>
        <w:pStyle w:val="1140"/>
        <w:jc w:val="center"/>
        <w:spacing w:line="240" w:lineRule="atLeast"/>
        <w:rPr>
          <w:b/>
          <w:bCs/>
          <w:color w:val="000000"/>
          <w:sz w:val="32"/>
          <w:highlight w:val="none"/>
        </w:rPr>
      </w:pPr>
      <w:r>
        <w:rPr>
          <w:rFonts w:hint="eastAsia"/>
          <w:b/>
          <w:bCs/>
          <w:color w:val="000000"/>
          <w:sz w:val="32"/>
          <w:highlight w:val="none"/>
        </w:rPr>
        <w:t xml:space="preserve">江苏大学附属医院医疗设备招标采购合同</w:t>
      </w:r>
      <w:r>
        <w:rPr>
          <w:b/>
          <w:bCs/>
          <w:color w:val="000000"/>
          <w:sz w:val="32"/>
          <w:highlight w:val="none"/>
        </w:rPr>
      </w:r>
      <w:r/>
    </w:p>
    <w:p>
      <w:pPr>
        <w:pStyle w:val="1140"/>
        <w:spacing w:line="440" w:lineRule="exact"/>
        <w:rPr>
          <w:b/>
          <w:bCs/>
          <w:color w:val="000000"/>
          <w:szCs w:val="21"/>
          <w:highlight w:val="none"/>
          <w:u w:val="single"/>
        </w:rPr>
      </w:pPr>
      <w:r>
        <w:rPr>
          <w:b/>
          <w:bCs/>
          <w:color w:val="000000"/>
          <w:szCs w:val="21"/>
          <w:highlight w:val="none"/>
        </w:rPr>
        <w:t xml:space="preserve">                               </w:t>
      </w:r>
      <w:r>
        <w:rPr>
          <w:rFonts w:hint="eastAsia"/>
          <w:color w:val="000000"/>
          <w:szCs w:val="21"/>
          <w:highlight w:val="none"/>
        </w:rPr>
        <w:t xml:space="preserve">合同编号</w:t>
      </w:r>
      <w:r>
        <w:rPr>
          <w:color w:val="000000"/>
          <w:szCs w:val="21"/>
          <w:highlight w:val="none"/>
          <w:u w:val="single"/>
        </w:rPr>
        <w:t xml:space="preserve">               </w:t>
      </w:r>
      <w:r>
        <w:rPr>
          <w:b/>
          <w:bCs/>
          <w:color w:val="000000"/>
          <w:szCs w:val="21"/>
          <w:highlight w:val="none"/>
          <w:u w:val="single"/>
        </w:rPr>
      </w:r>
      <w:r/>
    </w:p>
    <w:p>
      <w:pPr>
        <w:pStyle w:val="1140"/>
        <w:spacing w:line="440" w:lineRule="exact"/>
        <w:rPr>
          <w:b/>
          <w:bCs/>
          <w:color w:val="000000"/>
          <w:szCs w:val="21"/>
          <w:highlight w:val="none"/>
        </w:rPr>
      </w:pPr>
      <w:r>
        <w:rPr>
          <w:rFonts w:hint="eastAsia"/>
          <w:b/>
          <w:bCs/>
          <w:color w:val="000000"/>
          <w:szCs w:val="21"/>
          <w:highlight w:val="none"/>
        </w:rPr>
        <w:t xml:space="preserve">甲方：</w:t>
      </w:r>
      <w:r>
        <w:rPr>
          <w:b/>
          <w:bCs/>
          <w:color w:val="000000"/>
          <w:szCs w:val="21"/>
          <w:highlight w:val="none"/>
        </w:rPr>
        <w:t xml:space="preserve"> </w:t>
      </w:r>
      <w:r>
        <w:rPr>
          <w:b/>
          <w:bCs/>
          <w:color w:val="000000"/>
          <w:szCs w:val="21"/>
          <w:highlight w:val="none"/>
        </w:rPr>
      </w:r>
      <w:r/>
    </w:p>
    <w:p>
      <w:pPr>
        <w:pStyle w:val="1140"/>
        <w:spacing w:line="440" w:lineRule="exact"/>
        <w:rPr>
          <w:b/>
          <w:bCs/>
          <w:color w:val="000000"/>
          <w:szCs w:val="21"/>
          <w:highlight w:val="none"/>
        </w:rPr>
      </w:pPr>
      <w:r>
        <w:rPr>
          <w:rFonts w:hint="eastAsia"/>
          <w:b/>
          <w:bCs/>
          <w:color w:val="000000"/>
          <w:szCs w:val="21"/>
          <w:highlight w:val="none"/>
        </w:rPr>
        <w:t xml:space="preserve">乙方：</w:t>
      </w:r>
      <w:r>
        <w:rPr>
          <w:b/>
          <w:bCs/>
          <w:color w:val="000000"/>
          <w:szCs w:val="21"/>
          <w:highlight w:val="none"/>
        </w:rPr>
        <w:t xml:space="preserve"> </w:t>
      </w:r>
      <w:r>
        <w:rPr>
          <w:b/>
          <w:bCs/>
          <w:color w:val="000000"/>
          <w:szCs w:val="21"/>
          <w:highlight w:val="none"/>
        </w:rPr>
      </w:r>
      <w:r/>
    </w:p>
    <w:p>
      <w:pPr>
        <w:pStyle w:val="1140"/>
        <w:spacing w:line="360" w:lineRule="auto"/>
        <w:rPr>
          <w:color w:val="000000"/>
          <w:szCs w:val="21"/>
          <w:highlight w:val="none"/>
        </w:rPr>
      </w:pPr>
      <w:r>
        <w:rPr>
          <w:rFonts w:hint="eastAsia"/>
          <w:color w:val="000000"/>
          <w:szCs w:val="21"/>
          <w:highlight w:val="none"/>
        </w:rPr>
        <w:t xml:space="preserve">住所地：</w:t>
      </w:r>
      <w:r>
        <w:rPr>
          <w:color w:val="000000"/>
          <w:szCs w:val="21"/>
          <w:highlight w:val="none"/>
        </w:rPr>
        <w:t xml:space="preserve">                        </w:t>
      </w:r>
      <w:r>
        <w:rPr>
          <w:rFonts w:hint="eastAsia"/>
          <w:color w:val="000000"/>
          <w:szCs w:val="21"/>
          <w:highlight w:val="none"/>
        </w:rPr>
        <w:t xml:space="preserve">联系电话：</w:t>
      </w:r>
      <w:r>
        <w:rPr>
          <w:color w:val="000000"/>
          <w:szCs w:val="21"/>
          <w:highlight w:val="none"/>
        </w:rPr>
        <w:t xml:space="preserve">             </w:t>
      </w:r>
      <w:r>
        <w:rPr>
          <w:color w:val="000000"/>
          <w:szCs w:val="21"/>
          <w:highlight w:val="none"/>
        </w:rPr>
      </w:r>
      <w:r/>
    </w:p>
    <w:p>
      <w:pPr>
        <w:pStyle w:val="1140"/>
        <w:spacing w:line="360" w:lineRule="auto"/>
        <w:rPr>
          <w:b/>
          <w:bCs/>
          <w:i/>
          <w:iCs/>
          <w:color w:val="000000"/>
          <w:szCs w:val="21"/>
          <w:highlight w:val="none"/>
        </w:rPr>
      </w:pPr>
      <w:r>
        <w:rPr>
          <w:rFonts w:hint="eastAsia"/>
          <w:color w:val="000000"/>
          <w:szCs w:val="21"/>
          <w:highlight w:val="none"/>
        </w:rPr>
        <w:t xml:space="preserve">法定代表人：</w:t>
      </w:r>
      <w:r>
        <w:rPr>
          <w:color w:val="000000"/>
          <w:szCs w:val="21"/>
          <w:highlight w:val="none"/>
        </w:rPr>
        <w:t xml:space="preserve">                    </w:t>
      </w:r>
      <w:r>
        <w:rPr>
          <w:rFonts w:hint="eastAsia"/>
          <w:color w:val="000000"/>
          <w:szCs w:val="21"/>
          <w:highlight w:val="none"/>
        </w:rPr>
        <w:t xml:space="preserve">职务：</w:t>
      </w:r>
      <w:r>
        <w:rPr>
          <w:color w:val="000000"/>
          <w:szCs w:val="21"/>
          <w:highlight w:val="none"/>
        </w:rPr>
        <w:t xml:space="preserve">          </w:t>
      </w:r>
      <w:r>
        <w:rPr>
          <w:b/>
          <w:bCs/>
          <w:i/>
          <w:iCs/>
          <w:color w:val="000000"/>
          <w:szCs w:val="21"/>
          <w:highlight w:val="none"/>
        </w:rPr>
      </w:r>
      <w:r/>
    </w:p>
    <w:p>
      <w:pPr>
        <w:pStyle w:val="1140"/>
        <w:ind w:firstLine="420"/>
        <w:spacing w:line="400" w:lineRule="exact"/>
        <w:rPr>
          <w:rFonts w:ascii="Arial" w:hAnsi="Arial"/>
          <w:color w:val="000000"/>
          <w:u w:val="single"/>
        </w:rPr>
      </w:pPr>
      <w:r>
        <w:rPr>
          <w:rFonts w:hint="eastAsia" w:ascii="Arial" w:hAnsi="Arial"/>
          <w:color w:val="000000"/>
        </w:rPr>
        <w:t xml:space="preserve">经甲、乙方双方友好协商，就甲方购买</w:t>
      </w:r>
      <w:r>
        <w:rPr>
          <w:rFonts w:hint="eastAsia" w:ascii="Arial" w:hAnsi="Arial"/>
          <w:color w:val="000000"/>
          <w:u w:val="single"/>
        </w:rPr>
        <w:t xml:space="preserve">     </w:t>
      </w:r>
      <w:r>
        <w:rPr>
          <w:rFonts w:hint="eastAsia" w:ascii="Arial" w:hAnsi="Arial"/>
          <w:color w:val="000000"/>
        </w:rPr>
        <w:t xml:space="preserve">生产的</w:t>
      </w:r>
      <w:r>
        <w:rPr>
          <w:rFonts w:hint="eastAsia" w:ascii="Arial" w:hAnsi="Arial"/>
          <w:color w:val="000000"/>
          <w:u w:val="single"/>
        </w:rPr>
        <w:t xml:space="preserve">      </w:t>
      </w:r>
      <w:r>
        <w:rPr>
          <w:rFonts w:ascii="Arial" w:hAnsi="Arial"/>
          <w:color w:val="000000"/>
        </w:rPr>
        <w:t xml:space="preserve">，</w:t>
      </w:r>
      <w:r>
        <w:rPr>
          <w:rFonts w:hint="eastAsia" w:ascii="Arial" w:hAnsi="Arial"/>
          <w:color w:val="000000"/>
        </w:rPr>
        <w:t xml:space="preserve"> 双方达成如下协议共同遵守：</w:t>
      </w:r>
      <w:r>
        <w:rPr>
          <w:rFonts w:ascii="Arial" w:hAnsi="Arial"/>
          <w:color w:val="000000"/>
          <w:u w:val="single"/>
        </w:rPr>
      </w:r>
      <w:r/>
    </w:p>
    <w:p>
      <w:pPr>
        <w:pStyle w:val="1217"/>
        <w:numPr>
          <w:ilvl w:val="0"/>
          <w:numId w:val="5"/>
        </w:numPr>
        <w:spacing w:line="440" w:lineRule="exact"/>
        <w:rPr>
          <w:rFonts w:ascii="Arial" w:hAnsi="Arial"/>
          <w:color w:val="000000"/>
          <w:u w:val="single"/>
        </w:rPr>
      </w:pPr>
      <w:r>
        <w:rPr>
          <w:rFonts w:hint="eastAsia" w:ascii="Arial" w:hAnsi="Arial"/>
          <w:color w:val="000000"/>
        </w:rPr>
        <w:t xml:space="preserve">购买医疗设备的名称、价格、数量、货款清单：</w:t>
      </w:r>
      <w:r>
        <w:rPr>
          <w:rFonts w:ascii="Arial" w:hAnsi="Arial"/>
          <w:color w:val="000000"/>
          <w:u w:val="single"/>
        </w:rPr>
      </w:r>
      <w:r/>
    </w:p>
    <w:tbl>
      <w:tblPr>
        <w:tblW w:w="9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2723"/>
        <w:gridCol w:w="1134"/>
        <w:gridCol w:w="709"/>
        <w:gridCol w:w="1418"/>
        <w:gridCol w:w="1559"/>
        <w:gridCol w:w="1703"/>
      </w:tblGrid>
      <w:tr>
        <w:trPr/>
        <w:tc>
          <w:tcPr>
            <w:tcW w:w="674" w:type="dxa"/>
            <w:vAlign w:val="center"/>
            <w:textDirection w:val="lrTb"/>
            <w:noWrap w:val="false"/>
          </w:tcPr>
          <w:p>
            <w:pPr>
              <w:pStyle w:val="1140"/>
              <w:jc w:val="center"/>
              <w:rPr>
                <w:rFonts w:ascii="Arial" w:hAnsi="Arial"/>
                <w:color w:val="000000"/>
              </w:rPr>
            </w:pPr>
            <w:r>
              <w:rPr>
                <w:rFonts w:hint="eastAsia" w:ascii="Arial" w:hAnsi="Arial"/>
                <w:color w:val="000000"/>
              </w:rPr>
              <w:t xml:space="preserve">序号</w:t>
            </w:r>
            <w:r>
              <w:rPr>
                <w:rFonts w:ascii="Arial" w:hAnsi="Arial"/>
                <w:color w:val="000000"/>
              </w:rPr>
            </w:r>
            <w:r/>
          </w:p>
        </w:tc>
        <w:tc>
          <w:tcPr>
            <w:tcW w:w="2723" w:type="dxa"/>
            <w:vAlign w:val="center"/>
            <w:textDirection w:val="lrTb"/>
            <w:noWrap w:val="false"/>
          </w:tcPr>
          <w:p>
            <w:pPr>
              <w:pStyle w:val="1140"/>
              <w:jc w:val="center"/>
              <w:rPr>
                <w:rFonts w:ascii="Arial" w:hAnsi="Arial"/>
                <w:color w:val="000000"/>
              </w:rPr>
            </w:pPr>
            <w:r>
              <w:rPr>
                <w:rFonts w:hint="eastAsia" w:ascii="Arial" w:hAnsi="Arial"/>
                <w:color w:val="000000"/>
              </w:rPr>
              <w:t xml:space="preserve">医疗设备名称</w:t>
            </w:r>
            <w:r>
              <w:rPr>
                <w:rFonts w:ascii="Arial" w:hAnsi="Arial"/>
                <w:color w:val="000000"/>
              </w:rPr>
            </w:r>
            <w:r/>
          </w:p>
        </w:tc>
        <w:tc>
          <w:tcPr>
            <w:tcW w:w="1134" w:type="dxa"/>
            <w:vAlign w:val="center"/>
            <w:textDirection w:val="lrTb"/>
            <w:noWrap w:val="false"/>
          </w:tcPr>
          <w:p>
            <w:pPr>
              <w:pStyle w:val="1140"/>
              <w:jc w:val="center"/>
              <w:rPr>
                <w:rFonts w:ascii="Arial" w:hAnsi="Arial"/>
                <w:color w:val="000000"/>
              </w:rPr>
            </w:pPr>
            <w:r>
              <w:rPr>
                <w:rFonts w:hint="eastAsia" w:ascii="Arial" w:hAnsi="Arial"/>
                <w:color w:val="000000"/>
              </w:rPr>
              <w:t xml:space="preserve">规格型号</w:t>
            </w:r>
            <w:r>
              <w:rPr>
                <w:rFonts w:ascii="Arial" w:hAnsi="Arial"/>
                <w:color w:val="000000"/>
              </w:rPr>
            </w:r>
            <w:r/>
          </w:p>
        </w:tc>
        <w:tc>
          <w:tcPr>
            <w:tcW w:w="709" w:type="dxa"/>
            <w:vAlign w:val="center"/>
            <w:textDirection w:val="lrTb"/>
            <w:noWrap w:val="false"/>
          </w:tcPr>
          <w:p>
            <w:pPr>
              <w:pStyle w:val="1140"/>
              <w:jc w:val="center"/>
              <w:rPr>
                <w:rFonts w:ascii="Arial" w:hAnsi="Arial"/>
                <w:color w:val="000000"/>
              </w:rPr>
            </w:pPr>
            <w:r>
              <w:rPr>
                <w:rFonts w:hint="eastAsia" w:ascii="Arial" w:hAnsi="Arial"/>
                <w:color w:val="000000"/>
              </w:rPr>
              <w:t xml:space="preserve">数量</w:t>
            </w:r>
            <w:r>
              <w:rPr>
                <w:rFonts w:ascii="Arial" w:hAnsi="Arial"/>
                <w:color w:val="000000"/>
              </w:rPr>
            </w:r>
            <w:r/>
          </w:p>
        </w:tc>
        <w:tc>
          <w:tcPr>
            <w:tcW w:w="1418" w:type="dxa"/>
            <w:vAlign w:val="center"/>
            <w:textDirection w:val="lrTb"/>
            <w:noWrap w:val="false"/>
          </w:tcPr>
          <w:p>
            <w:pPr>
              <w:pStyle w:val="1140"/>
              <w:jc w:val="center"/>
              <w:rPr>
                <w:rFonts w:ascii="Arial" w:hAnsi="Arial"/>
                <w:color w:val="000000"/>
              </w:rPr>
            </w:pPr>
            <w:r>
              <w:rPr>
                <w:rFonts w:hint="eastAsia" w:ascii="Arial" w:hAnsi="Arial"/>
                <w:color w:val="000000"/>
              </w:rPr>
              <w:t xml:space="preserve">单价</w:t>
            </w:r>
            <w:r>
              <w:rPr>
                <w:rFonts w:ascii="Arial" w:hAnsi="Arial"/>
                <w:color w:val="000000"/>
              </w:rPr>
            </w:r>
            <w:r/>
          </w:p>
          <w:p>
            <w:pPr>
              <w:pStyle w:val="1140"/>
              <w:jc w:val="center"/>
              <w:rPr>
                <w:rFonts w:ascii="Arial" w:hAnsi="Arial"/>
                <w:color w:val="000000"/>
              </w:rPr>
            </w:pPr>
            <w:r>
              <w:rPr>
                <w:rFonts w:hint="eastAsia" w:ascii="Arial" w:hAnsi="Arial"/>
                <w:color w:val="000000"/>
              </w:rPr>
              <w:t xml:space="preserve">（元）</w:t>
            </w:r>
            <w:r>
              <w:rPr>
                <w:rFonts w:ascii="Arial" w:hAnsi="Arial"/>
                <w:color w:val="000000"/>
              </w:rPr>
            </w:r>
            <w:r/>
          </w:p>
        </w:tc>
        <w:tc>
          <w:tcPr>
            <w:tcW w:w="1559" w:type="dxa"/>
            <w:vAlign w:val="center"/>
            <w:textDirection w:val="lrTb"/>
            <w:noWrap w:val="false"/>
          </w:tcPr>
          <w:p>
            <w:pPr>
              <w:pStyle w:val="1140"/>
              <w:jc w:val="center"/>
              <w:rPr>
                <w:rFonts w:ascii="Arial" w:hAnsi="Arial"/>
                <w:color w:val="000000"/>
              </w:rPr>
            </w:pPr>
            <w:r>
              <w:rPr>
                <w:rFonts w:hint="eastAsia" w:ascii="Arial" w:hAnsi="Arial"/>
                <w:color w:val="000000"/>
              </w:rPr>
              <w:t xml:space="preserve">金额</w:t>
            </w:r>
            <w:r>
              <w:rPr>
                <w:rFonts w:ascii="Arial" w:hAnsi="Arial"/>
                <w:color w:val="000000"/>
              </w:rPr>
            </w:r>
            <w:r/>
          </w:p>
          <w:p>
            <w:pPr>
              <w:pStyle w:val="1140"/>
              <w:jc w:val="center"/>
              <w:rPr>
                <w:rFonts w:ascii="Arial" w:hAnsi="Arial"/>
                <w:color w:val="000000"/>
              </w:rPr>
            </w:pPr>
            <w:r>
              <w:rPr>
                <w:rFonts w:hint="eastAsia" w:ascii="Arial" w:hAnsi="Arial"/>
                <w:color w:val="000000"/>
              </w:rPr>
              <w:t xml:space="preserve">（元）</w:t>
            </w:r>
            <w:r>
              <w:rPr>
                <w:rFonts w:ascii="Arial" w:hAnsi="Arial"/>
                <w:color w:val="000000"/>
              </w:rPr>
            </w:r>
            <w:r/>
          </w:p>
        </w:tc>
        <w:tc>
          <w:tcPr>
            <w:tcW w:w="1703" w:type="dxa"/>
            <w:vAlign w:val="center"/>
            <w:textDirection w:val="lrTb"/>
            <w:noWrap w:val="false"/>
          </w:tcPr>
          <w:p>
            <w:pPr>
              <w:pStyle w:val="1140"/>
              <w:jc w:val="center"/>
              <w:rPr>
                <w:rFonts w:ascii="Arial" w:hAnsi="Arial"/>
                <w:color w:val="000000"/>
              </w:rPr>
            </w:pPr>
            <w:r>
              <w:rPr>
                <w:rFonts w:hint="eastAsia" w:ascii="Arial" w:hAnsi="Arial"/>
                <w:color w:val="000000"/>
              </w:rPr>
              <w:t xml:space="preserve">品牌</w:t>
            </w:r>
            <w:r>
              <w:rPr>
                <w:rFonts w:ascii="Arial" w:hAnsi="Arial"/>
                <w:color w:val="000000"/>
              </w:rPr>
            </w:r>
            <w:r/>
          </w:p>
        </w:tc>
      </w:tr>
      <w:tr>
        <w:trPr/>
        <w:tc>
          <w:tcPr>
            <w:tcW w:w="674" w:type="dxa"/>
            <w:vAlign w:val="top"/>
            <w:textDirection w:val="lrTb"/>
            <w:noWrap w:val="false"/>
          </w:tcPr>
          <w:p>
            <w:pPr>
              <w:pStyle w:val="1140"/>
              <w:jc w:val="center"/>
              <w:spacing w:line="440" w:lineRule="exact"/>
              <w:rPr>
                <w:rFonts w:ascii="Arial" w:hAnsi="Arial"/>
                <w:color w:val="000000"/>
              </w:rPr>
            </w:pPr>
            <w:r>
              <w:rPr>
                <w:rFonts w:ascii="Arial" w:hAnsi="Arial"/>
                <w:color w:val="000000"/>
              </w:rPr>
            </w:r>
            <w:r/>
          </w:p>
        </w:tc>
        <w:tc>
          <w:tcPr>
            <w:tcW w:w="2723"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134"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709"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418"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559"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703"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r>
      <w:tr>
        <w:trPr/>
        <w:tc>
          <w:tcPr>
            <w:gridSpan w:val="7"/>
            <w:tcW w:w="9920" w:type="dxa"/>
            <w:vAlign w:val="top"/>
            <w:textDirection w:val="lrTb"/>
            <w:noWrap w:val="false"/>
          </w:tcPr>
          <w:p>
            <w:pPr>
              <w:pStyle w:val="1140"/>
              <w:spacing w:line="440" w:lineRule="exact"/>
              <w:rPr>
                <w:rFonts w:ascii="Arial" w:hAnsi="Arial"/>
                <w:color w:val="000000"/>
              </w:rPr>
            </w:pPr>
            <w:r>
              <w:rPr>
                <w:rFonts w:hint="eastAsia" w:ascii="Arial" w:hAnsi="Arial"/>
                <w:color w:val="000000"/>
              </w:rPr>
              <w:t xml:space="preserve">合计：金额（大写）</w:t>
            </w:r>
            <w:r>
              <w:rPr>
                <w:rFonts w:hint="eastAsia" w:ascii="Arial" w:hAnsi="Arial"/>
                <w:color w:val="000000"/>
                <w:u w:val="single"/>
              </w:rPr>
              <w:t xml:space="preserve">  </w:t>
            </w:r>
            <w:r>
              <w:rPr>
                <w:rFonts w:hint="eastAsia" w:ascii="Arial" w:hAnsi="Arial"/>
                <w:color w:val="000000"/>
              </w:rPr>
              <w:t xml:space="preserve">万</w:t>
            </w:r>
            <w:r>
              <w:rPr>
                <w:rFonts w:hint="eastAsia" w:ascii="Arial" w:hAnsi="Arial"/>
                <w:color w:val="000000"/>
                <w:u w:val="single"/>
              </w:rPr>
              <w:t xml:space="preserve">  </w:t>
            </w:r>
            <w:r>
              <w:rPr>
                <w:rFonts w:hint="eastAsia" w:ascii="Arial" w:hAnsi="Arial"/>
                <w:color w:val="000000"/>
              </w:rPr>
              <w:t xml:space="preserve">仟</w:t>
            </w:r>
            <w:r>
              <w:rPr>
                <w:rFonts w:hint="eastAsia" w:ascii="Arial" w:hAnsi="Arial"/>
                <w:color w:val="000000"/>
                <w:u w:val="single"/>
              </w:rPr>
              <w:t xml:space="preserve">  </w:t>
            </w:r>
            <w:r>
              <w:rPr>
                <w:rFonts w:hint="eastAsia" w:ascii="Arial" w:hAnsi="Arial"/>
                <w:color w:val="000000"/>
              </w:rPr>
              <w:t xml:space="preserve">佰</w:t>
            </w:r>
            <w:r>
              <w:rPr>
                <w:rFonts w:hint="eastAsia" w:ascii="Arial" w:hAnsi="Arial"/>
                <w:color w:val="000000"/>
                <w:u w:val="single"/>
              </w:rPr>
              <w:t xml:space="preserve">  </w:t>
            </w:r>
            <w:r>
              <w:rPr>
                <w:rFonts w:hint="eastAsia" w:ascii="Arial" w:hAnsi="Arial"/>
                <w:color w:val="000000"/>
              </w:rPr>
              <w:t xml:space="preserve">拾</w:t>
            </w:r>
            <w:r>
              <w:rPr>
                <w:rFonts w:hint="eastAsia" w:ascii="Arial" w:hAnsi="Arial"/>
                <w:color w:val="000000"/>
                <w:u w:val="single"/>
              </w:rPr>
              <w:t xml:space="preserve">  </w:t>
            </w:r>
            <w:r>
              <w:rPr>
                <w:rFonts w:hint="eastAsia" w:ascii="Arial" w:hAnsi="Arial"/>
                <w:color w:val="000000"/>
              </w:rPr>
              <w:t xml:space="preserve">元，（小写）</w:t>
            </w:r>
            <w:r>
              <w:rPr>
                <w:rFonts w:hint="eastAsia" w:ascii="Arial" w:hAnsi="Arial"/>
                <w:color w:val="000000"/>
                <w:u w:val="single"/>
              </w:rPr>
              <w:t xml:space="preserve">  人民币</w:t>
            </w:r>
            <w:r>
              <w:rPr>
                <w:rFonts w:hint="eastAsia" w:ascii="Arial" w:hAnsi="Arial" w:cs="宋体"/>
                <w:color w:val="000000"/>
                <w:u w:val="single"/>
              </w:rPr>
              <w:t xml:space="preserve">   </w:t>
            </w:r>
            <w:r>
              <w:rPr>
                <w:rFonts w:hint="eastAsia" w:ascii="Arial" w:hAnsi="Arial"/>
                <w:color w:val="000000"/>
              </w:rPr>
              <w:t xml:space="preserve">元（注明币种）</w:t>
            </w:r>
            <w:r>
              <w:rPr>
                <w:rFonts w:ascii="Arial" w:hAnsi="Arial"/>
                <w:color w:val="000000"/>
              </w:rPr>
            </w:r>
            <w:r/>
          </w:p>
        </w:tc>
      </w:tr>
    </w:tbl>
    <w:p>
      <w:pPr>
        <w:pStyle w:val="1217"/>
        <w:numPr>
          <w:ilvl w:val="0"/>
          <w:numId w:val="5"/>
        </w:numPr>
        <w:spacing w:line="420" w:lineRule="atLeast"/>
        <w:rPr>
          <w:rFonts w:ascii="Arial" w:hAnsi="Arial"/>
          <w:color w:val="000000"/>
        </w:rPr>
      </w:pPr>
      <w:r>
        <w:rPr>
          <w:rFonts w:hint="eastAsia" w:ascii="Arial" w:hAnsi="Arial"/>
          <w:color w:val="000000"/>
        </w:rPr>
        <w:t xml:space="preserve">根据甲方招标要求及乙方中标承诺，设备详细配置清单见采购合同附件。</w:t>
      </w:r>
      <w:r>
        <w:rPr>
          <w:rFonts w:ascii="Arial" w:hAnsi="Arial"/>
          <w:color w:val="000000"/>
        </w:rPr>
      </w:r>
      <w:r/>
    </w:p>
    <w:p>
      <w:pPr>
        <w:pStyle w:val="1217"/>
        <w:numPr>
          <w:ilvl w:val="0"/>
          <w:numId w:val="5"/>
        </w:numPr>
        <w:spacing w:line="420" w:lineRule="atLeast"/>
        <w:rPr>
          <w:rFonts w:ascii="Arial" w:hAnsi="Arial"/>
          <w:color w:val="000000"/>
        </w:rPr>
      </w:pPr>
      <w:r>
        <w:rPr>
          <w:rFonts w:hint="eastAsia" w:ascii="Arial" w:hAnsi="Arial"/>
          <w:color w:val="000000"/>
        </w:rPr>
        <w:t xml:space="preserve">付款方式：</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货到安装、全面验收合格并能够正常使用后，凭甲方出具的全面验收合格报告，乙方提供合规发票、合同复印件及其它所需票据供甲方入库。</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甲方自设备入库之日起6个月内，向乙方支付合同总货款的80%。</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设备免费保修期为1年时，在设备能够持续保证临床正常稳定使用且乙方无未处理违约事项的前提下，乙方在保修期满后向甲方提交尾款付款申请，甲方在收到乙方尾款付款申请后3个月内向乙方支付合同总货款的20%。</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设备免费保修期大于1年时，在设备能够持续保证临床正常稳定使用1年后，甲方在3个月内向乙方支付合同总货款的10%，待本合同约定的设备保修期届满，且满足以下条件后支付剩余10%尾款：</w:t>
      </w:r>
      <w:r>
        <w:rPr>
          <w:rFonts w:ascii="Arial" w:hAnsi="Arial"/>
          <w:color w:val="000000"/>
        </w:rPr>
      </w:r>
      <w:r/>
    </w:p>
    <w:p>
      <w:pPr>
        <w:pStyle w:val="1217"/>
        <w:ind w:left="440" w:firstLine="0"/>
        <w:spacing w:line="420" w:lineRule="atLeast"/>
        <w:rPr>
          <w:rFonts w:ascii="Arial" w:hAnsi="Arial"/>
          <w:color w:val="000000"/>
        </w:rPr>
      </w:pPr>
      <w:r>
        <w:rPr>
          <w:rFonts w:hint="eastAsia" w:ascii="Arial" w:hAnsi="Arial"/>
          <w:color w:val="000000"/>
        </w:rPr>
        <w:t xml:space="preserve">（1）乙方已完全履行本合同约定的全部义务（包括但不限于质保义务）。</w:t>
      </w:r>
      <w:r>
        <w:rPr>
          <w:rFonts w:ascii="Arial" w:hAnsi="Arial"/>
          <w:color w:val="000000"/>
        </w:rPr>
      </w:r>
      <w:r/>
    </w:p>
    <w:p>
      <w:pPr>
        <w:pStyle w:val="1217"/>
        <w:ind w:left="440" w:firstLine="0"/>
        <w:spacing w:line="420" w:lineRule="atLeast"/>
        <w:rPr>
          <w:rFonts w:ascii="Arial" w:hAnsi="Arial"/>
          <w:color w:val="000000"/>
        </w:rPr>
      </w:pPr>
      <w:r>
        <w:rPr>
          <w:rFonts w:hint="eastAsia" w:ascii="Arial" w:hAnsi="Arial"/>
          <w:color w:val="000000"/>
        </w:rPr>
        <w:t xml:space="preserve">（2）乙方在保修期满后向甲方提交尾款付款申请。</w:t>
      </w:r>
      <w:r>
        <w:rPr>
          <w:rFonts w:ascii="Arial" w:hAnsi="Arial"/>
          <w:color w:val="000000"/>
        </w:rPr>
      </w:r>
      <w:r/>
    </w:p>
    <w:p>
      <w:pPr>
        <w:pStyle w:val="1217"/>
        <w:ind w:left="440" w:firstLine="0"/>
        <w:spacing w:line="420" w:lineRule="atLeast"/>
        <w:rPr>
          <w:rFonts w:ascii="Arial" w:hAnsi="Arial"/>
          <w:color w:val="000000"/>
        </w:rPr>
      </w:pPr>
      <w:r>
        <w:rPr>
          <w:rFonts w:hint="eastAsia" w:ascii="Arial" w:hAnsi="Arial"/>
          <w:color w:val="000000"/>
        </w:rPr>
        <w:t xml:space="preserve">（3）甲方审核确认上述条件均满足且乙方无未处理违约事项后，在收到乙方尾款付款申请后3个月内付清10%尾款。</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若因乙方未及时提供合规发票或存在其他违约行为，导致设备入库手续延迟，所有付款节点均按实际入库日期相应顺延。</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本条款未尽事宜或遇特殊情况，由双方另行协商解决。</w:t>
      </w:r>
      <w:r>
        <w:rPr>
          <w:rFonts w:ascii="Arial" w:hAnsi="Arial"/>
          <w:color w:val="000000"/>
        </w:rPr>
        <w:t xml:space="preserve"> </w:t>
      </w:r>
      <w:r>
        <w:rPr>
          <w:rFonts w:ascii="Arial" w:hAnsi="Arial"/>
          <w:color w:val="000000"/>
        </w:rPr>
      </w:r>
      <w:r/>
    </w:p>
    <w:p>
      <w:pPr>
        <w:pStyle w:val="1140"/>
        <w:numPr>
          <w:ilvl w:val="0"/>
          <w:numId w:val="7"/>
        </w:numPr>
        <w:ind w:left="442" w:hanging="442"/>
        <w:spacing w:line="420" w:lineRule="atLeast"/>
        <w:tabs>
          <w:tab w:val="left" w:pos="420" w:leader="none"/>
        </w:tabs>
        <w:rPr>
          <w:rFonts w:ascii="Arial" w:hAnsi="Arial"/>
          <w:color w:val="000000"/>
        </w:rPr>
      </w:pPr>
      <w:r>
        <w:rPr>
          <w:rFonts w:hint="eastAsia" w:ascii="Arial" w:hAnsi="Arial"/>
          <w:color w:val="000000"/>
        </w:rPr>
        <w:t xml:space="preserve">交付期：合同签订之日起</w:t>
      </w:r>
      <w:r>
        <w:rPr>
          <w:rFonts w:ascii="Arial" w:hAnsi="Arial"/>
          <w:color w:val="000000"/>
        </w:rPr>
        <w:t xml:space="preserve"> </w:t>
      </w:r>
      <w:r>
        <w:rPr>
          <w:rFonts w:hint="eastAsia" w:ascii="Arial" w:hAnsi="Arial"/>
          <w:color w:val="000000"/>
          <w:u w:val="single"/>
        </w:rPr>
        <w:t xml:space="preserve">   </w:t>
      </w:r>
      <w:r>
        <w:rPr>
          <w:rFonts w:hint="eastAsia" w:ascii="Arial" w:hAnsi="Arial"/>
          <w:color w:val="000000"/>
        </w:rPr>
        <w:t xml:space="preserve">内货物运抵甲方指定地点，运费、运输方式及卸货由乙方负责。乙方须在设备运抵甲方后</w:t>
      </w:r>
      <w:r>
        <w:rPr>
          <w:rFonts w:hint="eastAsia" w:ascii="Arial" w:hAnsi="Arial"/>
          <w:color w:val="000000"/>
          <w:u w:val="single"/>
        </w:rPr>
        <w:t xml:space="preserve">  </w:t>
      </w:r>
      <w:r>
        <w:rPr>
          <w:rFonts w:hint="eastAsia" w:ascii="Arial" w:hAnsi="Arial"/>
          <w:color w:val="000000"/>
        </w:rPr>
        <w:t xml:space="preserve">天内，将设备安装调试结束，并经甲方验收合格。</w:t>
      </w:r>
      <w:r>
        <w:rPr>
          <w:rFonts w:ascii="Arial" w:hAnsi="Arial"/>
          <w:color w:val="000000"/>
        </w:rPr>
      </w:r>
      <w:r/>
    </w:p>
    <w:p>
      <w:pPr>
        <w:pStyle w:val="1140"/>
        <w:numPr>
          <w:ilvl w:val="0"/>
          <w:numId w:val="7"/>
        </w:numPr>
        <w:ind w:left="442" w:hanging="442"/>
        <w:spacing w:line="420" w:lineRule="atLeast"/>
        <w:tabs>
          <w:tab w:val="left" w:pos="420" w:leader="none"/>
        </w:tabs>
        <w:rPr>
          <w:rFonts w:ascii="Arial" w:hAnsi="Arial"/>
          <w:color w:val="000000"/>
        </w:rPr>
      </w:pPr>
      <w:r>
        <w:rPr>
          <w:rFonts w:hint="eastAsia" w:ascii="Arial" w:hAnsi="Arial"/>
          <w:color w:val="000000"/>
        </w:rPr>
        <w:t xml:space="preserve">对于国产设备，乙方须提供营业执照、生产及经营许可证、产品注册证、计量合格证等相关资质证书。对于进口设备乙方还须提供本设备海关进口报关单及商检等相关资料。</w:t>
      </w:r>
      <w:r>
        <w:rPr>
          <w:rFonts w:ascii="Arial" w:hAnsi="Arial"/>
          <w:color w:val="000000"/>
        </w:rPr>
      </w:r>
      <w:r/>
    </w:p>
    <w:p>
      <w:pPr>
        <w:pStyle w:val="1140"/>
        <w:numPr>
          <w:ilvl w:val="0"/>
          <w:numId w:val="7"/>
        </w:numPr>
        <w:ind w:left="397" w:hanging="397"/>
        <w:spacing w:line="420" w:lineRule="atLeast"/>
        <w:tabs>
          <w:tab w:val="left" w:pos="420" w:leader="none"/>
        </w:tabs>
        <w:rPr>
          <w:rFonts w:ascii="Arial" w:hAnsi="Arial"/>
          <w:color w:val="000000"/>
        </w:rPr>
      </w:pPr>
      <w:r>
        <w:rPr>
          <w:rFonts w:hint="eastAsia" w:ascii="Arial" w:hAnsi="Arial"/>
          <w:color w:val="000000"/>
        </w:rPr>
        <w:t xml:space="preserve">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r>
        <w:rPr>
          <w:rFonts w:ascii="Arial" w:hAnsi="Arial"/>
          <w:color w:val="000000"/>
        </w:rPr>
      </w:r>
      <w:r/>
    </w:p>
    <w:p>
      <w:pPr>
        <w:pStyle w:val="1140"/>
        <w:numPr>
          <w:ilvl w:val="0"/>
          <w:numId w:val="7"/>
        </w:numPr>
        <w:ind w:left="442" w:hanging="442"/>
        <w:spacing w:line="420" w:lineRule="atLeast"/>
        <w:tabs>
          <w:tab w:val="left" w:pos="420" w:leader="none"/>
        </w:tabs>
        <w:rPr>
          <w:rFonts w:ascii="Arial" w:hAnsi="Arial"/>
          <w:color w:val="000000"/>
        </w:rPr>
      </w:pPr>
      <w:r>
        <w:rPr>
          <w:rFonts w:hint="eastAsia" w:ascii="Arial" w:hAnsi="Arial"/>
          <w:color w:val="000000"/>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rPr>
          <w:rFonts w:ascii="Arial" w:hAnsi="Arial"/>
          <w:color w:val="000000"/>
        </w:rPr>
      </w:r>
      <w:r/>
    </w:p>
    <w:p>
      <w:pPr>
        <w:pStyle w:val="1140"/>
        <w:numPr>
          <w:ilvl w:val="0"/>
          <w:numId w:val="7"/>
        </w:numPr>
        <w:spacing w:line="420" w:lineRule="atLeast"/>
        <w:tabs>
          <w:tab w:val="left" w:pos="420" w:leader="none"/>
        </w:tabs>
        <w:rPr>
          <w:rFonts w:ascii="Arial" w:hAnsi="Arial"/>
          <w:color w:val="000000"/>
        </w:rPr>
      </w:pPr>
      <w:r>
        <w:rPr>
          <w:rFonts w:hint="eastAsia" w:ascii="Arial" w:hAnsi="Arial"/>
          <w:color w:val="000000"/>
        </w:rPr>
        <w:t xml:space="preserve">售后服务：</w:t>
      </w:r>
      <w:r>
        <w:rPr>
          <w:rFonts w:ascii="Arial" w:hAnsi="Arial"/>
          <w:color w:val="000000"/>
        </w:rPr>
      </w:r>
      <w:r/>
    </w:p>
    <w:p>
      <w:pPr>
        <w:pStyle w:val="1217"/>
        <w:numPr>
          <w:ilvl w:val="0"/>
          <w:numId w:val="8"/>
        </w:numPr>
        <w:spacing w:line="420" w:lineRule="atLeast"/>
        <w:rPr>
          <w:rFonts w:ascii="Arial" w:hAnsi="Arial"/>
          <w:color w:val="000000"/>
        </w:rPr>
      </w:pPr>
      <w:r>
        <w:rPr>
          <w:rFonts w:hint="eastAsia" w:ascii="Arial" w:hAnsi="Arial"/>
          <w:color w:val="000000"/>
        </w:rPr>
        <w:t xml:space="preserve">乙方免费在本合同签订后柒日内向甲方提供设备安装图纸，并充分协助甲方做好机房的准备工作。</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设备到货前，乙方须提前一周书面通知甲方做好准备工作（收货人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r>
        <w:rPr>
          <w:rFonts w:ascii="Arial" w:hAnsi="Arial"/>
          <w:color w:val="000000"/>
        </w:rPr>
      </w:r>
      <w:r/>
    </w:p>
    <w:p>
      <w:pPr>
        <w:pStyle w:val="1217"/>
        <w:numPr>
          <w:ilvl w:val="0"/>
          <w:numId w:val="8"/>
        </w:numPr>
        <w:spacing w:line="420" w:lineRule="atLeast"/>
        <w:rPr>
          <w:rFonts w:ascii="Arial" w:hAnsi="Arial"/>
          <w:color w:val="000000"/>
        </w:rPr>
      </w:pPr>
      <w:r>
        <w:rPr>
          <w:rFonts w:hint="eastAsia" w:ascii="Arial" w:hAnsi="Arial"/>
          <w:color w:val="000000"/>
        </w:rPr>
        <w:t xml:space="preserve">按照甲方设备验收制度规定，甲方对设备安装、调试、试用满意后进行全面验收（具体时间由甲、乙双方商定），乙方免费派工程师到达现场协助验收工作。</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本设备保修期自甲方验收合格后入库之日算起。</w:t>
      </w:r>
      <w:bookmarkStart w:id="224" w:name="_Hlk208909150"/>
      <w:r>
        <w:rPr>
          <w:rFonts w:hint="eastAsia" w:ascii="Arial" w:hAnsi="Arial"/>
          <w:color w:val="000000"/>
        </w:rPr>
        <w:t xml:space="preserve">免费保修期</w:t>
      </w:r>
      <w:bookmarkEnd w:id="224"/>
      <w:r>
        <w:rPr>
          <w:rFonts w:hint="eastAsia" w:ascii="Arial" w:hAnsi="Arial"/>
          <w:color w:val="000000"/>
        </w:rPr>
        <w:t xml:space="preserve">为</w:t>
      </w:r>
      <w:r>
        <w:rPr>
          <w:rFonts w:hint="eastAsia" w:ascii="Arial" w:hAnsi="Arial"/>
          <w:color w:val="000000"/>
          <w:u w:val="single"/>
        </w:rPr>
        <w:t xml:space="preserve"> </w:t>
      </w:r>
      <w:r>
        <w:rPr>
          <w:rFonts w:hint="eastAsia" w:ascii="Arial" w:hAnsi="Arial"/>
          <w:color w:val="000000"/>
          <w:szCs w:val="21"/>
          <w:u w:val="single"/>
        </w:rPr>
        <w:t xml:space="preserve"> </w:t>
      </w:r>
      <w:r>
        <w:rPr>
          <w:rFonts w:hint="eastAsia" w:ascii="Arial" w:hAnsi="Arial"/>
          <w:color w:val="000000"/>
        </w:rPr>
        <w:t xml:space="preserve">，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如设备发生故障，乙方须在接到甲方报修电话</w:t>
      </w:r>
      <w:r>
        <w:rPr>
          <w:rFonts w:hint="eastAsia" w:ascii="Arial" w:hAnsi="Arial"/>
          <w:color w:val="000000"/>
          <w:u w:val="single"/>
        </w:rPr>
        <w:t xml:space="preserve">    </w:t>
      </w:r>
      <w:r>
        <w:rPr>
          <w:rFonts w:hint="eastAsia" w:ascii="Arial" w:hAnsi="Arial"/>
          <w:color w:val="000000"/>
        </w:rPr>
        <w:t xml:space="preserve">内派员到场修理，并保证在</w:t>
      </w:r>
      <w:r>
        <w:rPr>
          <w:rFonts w:hint="eastAsia" w:ascii="Arial" w:hAnsi="Arial"/>
          <w:color w:val="000000"/>
          <w:u w:val="single"/>
        </w:rPr>
        <w:t xml:space="preserve">  </w:t>
      </w:r>
      <w:r>
        <w:rPr>
          <w:rFonts w:hint="eastAsia" w:ascii="Arial" w:hAnsi="Arial"/>
          <w:color w:val="000000"/>
        </w:rPr>
        <w:t xml:space="preserve">内修复。否则甲方可自行采取必要的措施，由此产生的风险和费用由乙方承担。如有特殊情况，乙方应立即电话通知甲方不能派员的原因，在获得甲方同意后，方可推迟派员时间。</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无论在保修期内还是在保修期外，乙方工程师来甲方维修设备，必须事先与甲方医学装备部取得联系，并做相应登记；在维修过程中将相关情况向甲方工程师通报。否则由此引起的一切责任由乙方承担。</w:t>
      </w:r>
      <w:r>
        <w:rPr>
          <w:rFonts w:ascii="Arial" w:hAnsi="Arial"/>
          <w:color w:val="000000"/>
        </w:rPr>
      </w:r>
      <w:r/>
    </w:p>
    <w:p>
      <w:pPr>
        <w:pStyle w:val="1217"/>
        <w:numPr>
          <w:ilvl w:val="0"/>
          <w:numId w:val="8"/>
        </w:numPr>
        <w:spacing w:line="420" w:lineRule="atLeast"/>
        <w:rPr>
          <w:rFonts w:ascii="Arial" w:hAnsi="Arial"/>
          <w:color w:val="000000"/>
        </w:rPr>
      </w:pPr>
      <w:r>
        <w:rPr>
          <w:rFonts w:hint="eastAsia" w:ascii="Arial" w:hAnsi="Arial"/>
          <w:color w:val="000000"/>
        </w:rPr>
        <w:t xml:space="preserve">如设备软件升级，乙方须负责免费软件升级。（无论是否超过保修期。）</w:t>
      </w:r>
      <w:r>
        <w:rPr>
          <w:rFonts w:ascii="Arial" w:hAnsi="Arial"/>
          <w:color w:val="000000"/>
        </w:rPr>
      </w:r>
      <w:r/>
    </w:p>
    <w:p>
      <w:pPr>
        <w:pStyle w:val="1217"/>
        <w:numPr>
          <w:ilvl w:val="0"/>
          <w:numId w:val="8"/>
        </w:numPr>
        <w:ind w:left="420" w:hanging="420"/>
        <w:spacing w:line="420" w:lineRule="atLeast"/>
        <w:rPr>
          <w:rFonts w:ascii="Arial" w:hAnsi="Arial"/>
          <w:color w:val="000000"/>
        </w:rPr>
      </w:pPr>
      <w:r>
        <w:rPr>
          <w:rFonts w:hint="eastAsia" w:ascii="Arial" w:hAnsi="Arial"/>
          <w:color w:val="000000"/>
        </w:rPr>
        <w:t xml:space="preserve">乙方免费提供全套技术资料（维修说明书包括详细电路图、操作说明及光盘），如技术资料不全，甲方有</w:t>
      </w:r>
      <w:r>
        <w:rPr>
          <w:rFonts w:ascii="Arial" w:hAnsi="Arial"/>
          <w:color w:val="000000"/>
        </w:rPr>
      </w:r>
      <w:r/>
    </w:p>
    <w:p>
      <w:pPr>
        <w:pStyle w:val="1217"/>
        <w:ind w:left="777" w:hanging="357"/>
        <w:spacing w:line="420" w:lineRule="atLeast"/>
        <w:rPr>
          <w:rFonts w:ascii="Arial" w:hAnsi="Arial"/>
          <w:color w:val="000000"/>
        </w:rPr>
      </w:pPr>
      <w:r>
        <w:rPr>
          <w:rFonts w:hint="eastAsia" w:ascii="Arial" w:hAnsi="Arial"/>
          <w:color w:val="000000"/>
        </w:rPr>
        <w:t xml:space="preserve">权不支付货款。</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（1）现场技术培训</w:t>
      </w:r>
      <w:r>
        <w:rPr>
          <w:rFonts w:ascii="Arial" w:hAnsi="Arial"/>
          <w:color w:val="000000"/>
        </w:rPr>
        <w:t xml:space="preserve">:</w:t>
      </w:r>
      <w:r>
        <w:rPr>
          <w:rFonts w:hint="eastAsia" w:ascii="Arial" w:hAnsi="Arial"/>
          <w:color w:val="000000"/>
        </w:rPr>
        <w:t xml:space="preserve">在安装过程中或安装结束后，乙方工程师或有关人员有义务对甲方工程师和操作人员进行现场维修、保养、操作培训，解答甲方人员提出的问题。</w:t>
      </w:r>
      <w:r>
        <w:rPr>
          <w:rFonts w:ascii="Arial" w:hAnsi="Arial"/>
          <w:color w:val="000000"/>
        </w:rPr>
      </w:r>
      <w:r/>
    </w:p>
    <w:p>
      <w:pPr>
        <w:pStyle w:val="1217"/>
        <w:ind w:left="357" w:firstLine="0"/>
        <w:spacing w:line="420" w:lineRule="atLeast"/>
        <w:rPr>
          <w:rFonts w:ascii="Arial" w:hAnsi="Arial"/>
          <w:color w:val="000000"/>
        </w:rPr>
      </w:pPr>
      <w:r>
        <w:rPr>
          <w:rFonts w:hint="eastAsia" w:ascii="Arial" w:hAnsi="Arial"/>
          <w:color w:val="000000"/>
        </w:rPr>
        <w:t xml:space="preserve">（2）院外培训：双方另行商议。</w:t>
      </w:r>
      <w:r>
        <w:rPr>
          <w:rFonts w:ascii="Arial" w:hAnsi="Arial"/>
          <w:color w:val="000000"/>
        </w:rPr>
      </w:r>
      <w:r/>
    </w:p>
    <w:p>
      <w:pPr>
        <w:pStyle w:val="1217"/>
        <w:numPr>
          <w:ilvl w:val="0"/>
          <w:numId w:val="9"/>
        </w:numPr>
        <w:spacing w:line="420" w:lineRule="atLeast"/>
        <w:rPr>
          <w:rFonts w:ascii="Arial" w:hAnsi="Arial"/>
          <w:color w:val="000000"/>
        </w:rPr>
      </w:pPr>
      <w:r>
        <w:rPr>
          <w:rFonts w:hint="eastAsia" w:ascii="Arial" w:hAnsi="Arial"/>
          <w:color w:val="000000"/>
        </w:rPr>
        <w:t xml:space="preserve">如乙方提供设备有维修密码，乙方必须根据甲方要求无条件交甲方医学装备部专人保存（含动态密码）。本条所述的各项义务，乙方均应切实履行，即使双方存在付款、开票等争议，乙方亦无权以任何借口或</w:t>
      </w:r>
      <w:r>
        <w:rPr>
          <w:rFonts w:ascii="Arial" w:hAnsi="Arial"/>
          <w:color w:val="000000"/>
        </w:rPr>
      </w:r>
      <w:r/>
    </w:p>
    <w:p>
      <w:pPr>
        <w:pStyle w:val="1140"/>
        <w:ind w:firstLine="420"/>
        <w:spacing w:line="440" w:lineRule="exact"/>
        <w:rPr>
          <w:rFonts w:ascii="Arial" w:hAnsi="Arial"/>
          <w:color w:val="000000"/>
        </w:rPr>
      </w:pPr>
      <w:r>
        <w:rPr>
          <w:rFonts w:hint="eastAsia" w:ascii="Arial" w:hAnsi="Arial"/>
          <w:color w:val="000000"/>
        </w:rPr>
        <w:t xml:space="preserve">理由拒绝履行。</w:t>
      </w:r>
      <w:r>
        <w:rPr>
          <w:rFonts w:ascii="Arial" w:hAnsi="Arial"/>
          <w:color w:val="000000"/>
        </w:rPr>
      </w:r>
      <w:r/>
    </w:p>
    <w:p>
      <w:pPr>
        <w:pStyle w:val="1140"/>
        <w:numPr>
          <w:ilvl w:val="0"/>
          <w:numId w:val="7"/>
        </w:numPr>
        <w:spacing w:line="440" w:lineRule="exact"/>
        <w:tabs>
          <w:tab w:val="left" w:pos="420" w:leader="none"/>
        </w:tabs>
        <w:rPr>
          <w:rFonts w:ascii="Arial" w:hAnsi="Arial"/>
          <w:color w:val="000000"/>
        </w:rPr>
      </w:pPr>
      <w:r>
        <w:rPr>
          <w:rFonts w:hint="eastAsia" w:ascii="Arial" w:hAnsi="Arial"/>
          <w:color w:val="000000"/>
        </w:rPr>
        <w:t xml:space="preserve">违约责任：</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本合同生效后，如乙方违约，均须向甲方承担设备总价10%的违约金。</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如乙方逾期交付，每逾期一日须赔偿甲方损失伍仟元整；如逾期超过五日，甲方有权解除本合同，并有权要求乙方承担包括赔偿损失等在内的违约责任。</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如甲方基于乙方违约而解除合同的，甲方除无需再向乙方支付任何款项之外，乙方还必须立即无条件退回从甲方处收到的全部所有款项，并向甲方承担违约金、赔偿损失。</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如甲方逾期付款且经乙方催要后，仍违约逾期支付，则从收到乙方书面催要通知之次日起，按同期LPR</w:t>
      </w:r>
      <w:r>
        <w:rPr>
          <w:rFonts w:ascii="Arial" w:hAnsi="Arial"/>
          <w:color w:val="000000"/>
        </w:rPr>
      </w:r>
      <w:r/>
    </w:p>
    <w:p>
      <w:pPr>
        <w:pStyle w:val="1140"/>
        <w:ind w:firstLine="420"/>
        <w:spacing w:line="440" w:lineRule="exact"/>
        <w:tabs>
          <w:tab w:val="left" w:pos="420" w:leader="none"/>
        </w:tabs>
        <w:rPr>
          <w:rFonts w:ascii="Arial" w:hAnsi="Arial"/>
          <w:color w:val="000000"/>
        </w:rPr>
      </w:pPr>
      <w:r>
        <w:rPr>
          <w:rFonts w:hint="eastAsia" w:ascii="Arial" w:hAnsi="Arial"/>
          <w:color w:val="000000"/>
        </w:rPr>
        <w:t xml:space="preserve">的标准向对方承担对应的银行利息损失。</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投标文件、配置清单或承诺书均系本合同的附件，甲方的相关制度，如甲方设备验收制度等，亦对乙方具备对应的约束力，构成乙方在本合同项下的义务来源并应得到乙方的全面遵守。</w:t>
      </w:r>
      <w:r>
        <w:rPr>
          <w:rFonts w:ascii="Arial" w:hAnsi="Arial"/>
          <w:color w:val="000000"/>
        </w:rPr>
      </w:r>
      <w:r/>
    </w:p>
    <w:p>
      <w:pPr>
        <w:pStyle w:val="1140"/>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乙方因签订和履行本合同而涉及的所有安全义务以及对应的费用，均由乙方自行承担，由此产生的</w:t>
      </w:r>
      <w:r>
        <w:rPr>
          <w:rFonts w:ascii="Arial" w:hAnsi="Arial"/>
          <w:color w:val="000000"/>
        </w:rPr>
      </w:r>
      <w:r/>
    </w:p>
    <w:p>
      <w:pPr>
        <w:pStyle w:val="1140"/>
        <w:ind w:firstLine="420"/>
        <w:spacing w:line="440" w:lineRule="exact"/>
        <w:tabs>
          <w:tab w:val="left" w:pos="420" w:leader="none"/>
        </w:tabs>
        <w:rPr>
          <w:rFonts w:ascii="Arial" w:hAnsi="Arial"/>
          <w:color w:val="000000"/>
        </w:rPr>
      </w:pPr>
      <w:r>
        <w:rPr>
          <w:rFonts w:hint="eastAsia" w:ascii="Arial" w:hAnsi="Arial"/>
          <w:color w:val="000000"/>
        </w:rPr>
        <w:t xml:space="preserve">所有法律责任(包括民事\行政\甚至刑事)均由乙方承担。</w:t>
      </w:r>
      <w:r>
        <w:rPr>
          <w:rFonts w:ascii="Arial" w:hAnsi="Arial"/>
          <w:color w:val="000000"/>
        </w:rPr>
      </w:r>
      <w:r/>
    </w:p>
    <w:p>
      <w:pPr>
        <w:pStyle w:val="1140"/>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本合同一式四份，自双方签章(包括在骑缝处)后生效，甲方执三份，乙方执一份。</w:t>
      </w:r>
      <w:r>
        <w:rPr>
          <w:rFonts w:ascii="Arial" w:hAnsi="Arial"/>
          <w:color w:val="000000"/>
        </w:rPr>
      </w:r>
      <w:r/>
    </w:p>
    <w:p>
      <w:pPr>
        <w:pStyle w:val="1140"/>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合同签署地点：镇江。因本合同产生的纠纷由甲方所在地人民法院管辖。本合同载明的乙方住所地</w:t>
      </w:r>
      <w:r>
        <w:rPr>
          <w:rFonts w:ascii="Arial" w:hAnsi="Arial"/>
          <w:color w:val="000000"/>
        </w:rPr>
      </w:r>
      <w:r/>
    </w:p>
    <w:p>
      <w:pPr>
        <w:pStyle w:val="1140"/>
        <w:ind w:left="420"/>
        <w:spacing w:line="440" w:lineRule="exact"/>
        <w:rPr>
          <w:rFonts w:ascii="Arial" w:hAnsi="Arial"/>
          <w:color w:val="000000"/>
        </w:rPr>
      </w:pPr>
      <w:r>
        <w:rPr>
          <w:rFonts w:hint="eastAsia" w:ascii="Arial" w:hAnsi="Arial"/>
          <w:color w:val="000000"/>
        </w:rPr>
        <w:t xml:space="preserve">以及联系方式，既可作为甲方向乙方送达使用，亦可作为法院向乙方送达使用，且据此所作的前述送达均为有效。</w:t>
      </w:r>
      <w:r>
        <w:rPr>
          <w:rFonts w:ascii="Arial" w:hAnsi="Arial"/>
          <w:color w:val="000000"/>
        </w:rPr>
      </w:r>
      <w:r/>
    </w:p>
    <w:p>
      <w:pPr>
        <w:pStyle w:val="1140"/>
        <w:spacing w:line="440" w:lineRule="exact"/>
        <w:rPr>
          <w:rFonts w:ascii="Times New Roman" w:hAnsi="Times New Roman" w:eastAsia="宋体" w:cs="Times New Roman"/>
          <w:bCs/>
          <w:color w:val="000000"/>
          <w:sz w:val="21"/>
          <w:szCs w:val="21"/>
          <w:highlight w:val="none"/>
        </w:rPr>
      </w:pPr>
      <w:r>
        <w:rPr>
          <w:rFonts w:hint="eastAsia" w:ascii="Arial" w:hAnsi="Arial"/>
          <w:color w:val="000000"/>
        </w:rPr>
        <w:t xml:space="preserve">    合同编号</w:t>
      </w:r>
      <w:r>
        <w:rPr>
          <w:rFonts w:hint="eastAsia" w:ascii="Arial" w:hAnsi="Arial"/>
          <w:color w:val="000000"/>
          <w:u w:val="single"/>
        </w:rPr>
        <w:t xml:space="preserve">                       </w:t>
      </w:r>
      <w:r>
        <w:rPr>
          <w:rFonts w:hint="eastAsia" w:ascii="Arial" w:hAnsi="Arial"/>
          <w:color w:val="000000"/>
        </w:rPr>
        <w:t xml:space="preserve">；招标编号</w:t>
      </w:r>
      <w:r>
        <w:rPr>
          <w:rFonts w:hint="eastAsia" w:ascii="Arial" w:hAnsi="Arial"/>
          <w:color w:val="000000"/>
          <w:u w:val="single"/>
        </w:rPr>
        <w:t xml:space="preserve">                      </w:t>
      </w:r>
      <w:r>
        <w:rPr>
          <w:rFonts w:hint="eastAsia" w:ascii="Arial" w:hAnsi="Arial"/>
          <w:color w:val="000000"/>
        </w:rPr>
        <w:t xml:space="preserve">。</w:t>
      </w:r>
      <w:r>
        <w:rPr>
          <w:rFonts w:ascii="Times New Roman" w:hAnsi="Times New Roman" w:eastAsia="宋体" w:cs="Times New Roman"/>
          <w:bCs/>
          <w:color w:val="000000"/>
          <w:sz w:val="21"/>
          <w:szCs w:val="21"/>
          <w:highlight w:val="none"/>
        </w:rPr>
      </w:r>
      <w:r/>
    </w:p>
    <w:p>
      <w:pPr>
        <w:pStyle w:val="1140"/>
        <w:ind w:firstLine="211"/>
        <w:spacing w:line="44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spacing w:line="44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甲方：                            乙方： </w:t>
      </w:r>
      <w:r>
        <w:rPr>
          <w:rFonts w:ascii="Times New Roman" w:hAnsi="Times New Roman" w:eastAsia="宋体" w:cs="Times New Roman"/>
          <w:b/>
          <w:bCs/>
          <w:color w:val="000000"/>
          <w:sz w:val="21"/>
          <w:szCs w:val="21"/>
          <w:highlight w:val="none"/>
        </w:rPr>
      </w:r>
      <w:r/>
    </w:p>
    <w:p>
      <w:pPr>
        <w:pStyle w:val="1140"/>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甲方代表：              </w:t>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 xml:space="preserve">乙方代表：</w:t>
      </w:r>
      <w:r>
        <w:rPr>
          <w:rFonts w:ascii="Times New Roman" w:hAnsi="Times New Roman" w:eastAsia="宋体" w:cs="Times New Roman"/>
          <w:b/>
          <w:bCs/>
          <w:color w:val="000000"/>
          <w:sz w:val="21"/>
          <w:szCs w:val="21"/>
          <w:highlight w:val="none"/>
        </w:rPr>
      </w:r>
      <w:r/>
    </w:p>
    <w:p>
      <w:pPr>
        <w:pStyle w:val="1140"/>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日期：                  </w:t>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 xml:space="preserve">日期：</w:t>
      </w:r>
      <w:r>
        <w:rPr>
          <w:rFonts w:ascii="Times New Roman" w:hAnsi="Times New Roman" w:eastAsia="宋体" w:cs="Times New Roman"/>
          <w:color w:val="000000"/>
          <w:sz w:val="21"/>
          <w:szCs w:val="21"/>
          <w:highlight w:val="none"/>
        </w:rPr>
      </w:r>
      <w:r/>
    </w:p>
    <w:p>
      <w:pPr>
        <w:pStyle w:val="1140"/>
        <w:spacing w:line="360" w:lineRule="auto"/>
        <w:rPr>
          <w:b/>
          <w:color w:val="000000"/>
          <w:sz w:val="28"/>
          <w:szCs w:val="28"/>
          <w:highlight w:val="none"/>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1140"/>
        <w:jc w:val="center"/>
        <w:spacing w:line="440" w:lineRule="exact"/>
        <w:rPr>
          <w:b/>
          <w:color w:val="000000"/>
          <w:sz w:val="28"/>
          <w:szCs w:val="28"/>
          <w:highlight w:val="none"/>
        </w:rPr>
        <w:outlineLvl w:val="0"/>
      </w:pPr>
      <w:r/>
      <w:bookmarkStart w:id="225" w:name="_Toc7916"/>
      <w:r>
        <w:rPr>
          <w:b/>
          <w:color w:val="000000"/>
          <w:sz w:val="28"/>
          <w:szCs w:val="28"/>
          <w:highlight w:val="none"/>
        </w:rPr>
        <w:t xml:space="preserve">第六章 投标文件格式及附件</w:t>
      </w:r>
      <w:bookmarkEnd w:id="221"/>
      <w:r/>
      <w:bookmarkEnd w:id="222"/>
      <w:r/>
      <w:bookmarkEnd w:id="223"/>
      <w:r/>
      <w:bookmarkEnd w:id="225"/>
      <w:r>
        <w:rPr>
          <w:b/>
          <w:color w:val="000000"/>
          <w:sz w:val="28"/>
          <w:szCs w:val="28"/>
          <w:highlight w:val="none"/>
        </w:rPr>
      </w:r>
      <w:r/>
    </w:p>
    <w:p>
      <w:pPr>
        <w:pStyle w:val="1140"/>
        <w:spacing w:line="360" w:lineRule="auto"/>
        <w:rPr>
          <w:b/>
          <w:bCs/>
          <w:color w:val="000000"/>
          <w:szCs w:val="21"/>
          <w:highlight w:val="none"/>
        </w:rPr>
      </w:pPr>
      <w:r/>
      <w:bookmarkStart w:id="226" w:name="_Toc29373"/>
      <w:r/>
      <w:bookmarkStart w:id="227" w:name="_Toc496780634"/>
      <w:r/>
      <w:bookmarkStart w:id="228" w:name="_Toc4696427"/>
      <w:r>
        <w:rPr>
          <w:b/>
          <w:bCs/>
          <w:color w:val="000000"/>
          <w:szCs w:val="21"/>
          <w:highlight w:val="none"/>
        </w:rPr>
        <w:t xml:space="preserve">注：</w:t>
      </w:r>
      <w:r>
        <w:rPr>
          <w:b/>
          <w:bCs/>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 </w:t>
      </w:r>
      <w:r>
        <w:rPr>
          <w:color w:val="000000"/>
          <w:szCs w:val="21"/>
          <w:highlight w:val="none"/>
        </w:rPr>
        <w:t xml:space="preserve">本部分内容仅提供格式参考。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 </w:t>
      </w:r>
      <w:r>
        <w:rPr>
          <w:color w:val="000000"/>
          <w:szCs w:val="21"/>
          <w:highlight w:val="none"/>
        </w:rPr>
        <w:t xml:space="preserve">供应商应按照以下文件的要求格式、内容制作投标文件，并编制目录及页码，混乱的编排导致投标文件被误读或查找不到，后果由供应商承担。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 </w:t>
      </w:r>
      <w:r>
        <w:rPr>
          <w:color w:val="000000"/>
          <w:szCs w:val="21"/>
          <w:highlight w:val="none"/>
        </w:rPr>
        <w:t xml:space="preserve">所附表格中要求回答的全部问题和信息都必须正面回答。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 </w:t>
      </w:r>
      <w:r>
        <w:rPr>
          <w:color w:val="000000"/>
          <w:szCs w:val="21"/>
          <w:highlight w:val="none"/>
        </w:rPr>
        <w:t xml:space="preserve">供应商提交的材料不予退还。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 </w:t>
      </w:r>
      <w:r>
        <w:rPr>
          <w:color w:val="000000"/>
          <w:szCs w:val="21"/>
          <w:highlight w:val="none"/>
        </w:rPr>
        <w:t xml:space="preserve">全部文件应按投标人须知以及前附表中规定的语言和份数提交。 </w:t>
      </w:r>
      <w:r>
        <w:rPr>
          <w:color w:val="000000"/>
          <w:szCs w:val="21"/>
          <w:highlight w:val="none"/>
        </w:rPr>
      </w:r>
      <w:r/>
    </w:p>
    <w:p>
      <w:pPr>
        <w:pStyle w:val="1140"/>
        <w:jc w:val="left"/>
        <w:spacing w:line="440" w:lineRule="exact"/>
        <w:rPr>
          <w:color w:val="000000"/>
          <w:sz w:val="24"/>
          <w:highlight w:val="none"/>
        </w:rPr>
      </w:pPr>
      <w:r>
        <w:rPr>
          <w:color w:val="000000"/>
          <w:szCs w:val="21"/>
          <w:highlight w:val="none"/>
        </w:rPr>
        <w:t xml:space="preserve">6.</w:t>
      </w:r>
      <w:r>
        <w:rPr>
          <w:rFonts w:hint="eastAsia"/>
          <w:color w:val="000000"/>
          <w:szCs w:val="21"/>
          <w:highlight w:val="none"/>
        </w:rPr>
        <w:t xml:space="preserve"> </w:t>
      </w:r>
      <w:r>
        <w:rPr>
          <w:color w:val="000000"/>
          <w:szCs w:val="21"/>
          <w:highlight w:val="none"/>
        </w:rPr>
        <w:t xml:space="preserve">投标文件应按照投标文件格式逐项填写，无相应内容可填的项应填写“无”“未测试”“没有相应指标”等明确的回答文字。</w:t>
      </w:r>
      <w:r>
        <w:rPr>
          <w:color w:val="000000"/>
          <w:sz w:val="24"/>
          <w:highlight w:val="none"/>
        </w:rPr>
      </w:r>
      <w:r/>
    </w:p>
    <w:p>
      <w:pPr>
        <w:pStyle w:val="1142"/>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1142"/>
        <w:jc w:val="center"/>
        <w:rPr>
          <w:rFonts w:ascii="Times New Roman" w:hAnsi="Times New Roman" w:eastAsia="宋体"/>
          <w:color w:val="000000"/>
          <w:szCs w:val="24"/>
          <w:highlight w:val="none"/>
        </w:rPr>
      </w:pPr>
      <w:r/>
      <w:bookmarkEnd w:id="226"/>
      <w:r/>
      <w:bookmarkEnd w:id="227"/>
      <w:r/>
      <w:bookmarkEnd w:id="228"/>
      <w:r/>
      <w:bookmarkStart w:id="229" w:name="_Toc5035"/>
      <w:r/>
      <w:bookmarkStart w:id="230" w:name="_Toc10192"/>
      <w:r/>
      <w:bookmarkStart w:id="231" w:name="_Toc4696428"/>
      <w:r>
        <w:rPr>
          <w:rFonts w:ascii="Times New Roman" w:hAnsi="Times New Roman" w:eastAsia="宋体"/>
          <w:color w:val="000000"/>
          <w:szCs w:val="24"/>
          <w:highlight w:val="none"/>
        </w:rPr>
        <w:t xml:space="preserve">资格审查索引表</w:t>
      </w:r>
      <w:bookmarkEnd w:id="229"/>
      <w:r/>
      <w:bookmarkEnd w:id="230"/>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5753"/>
        <w:gridCol w:w="2268"/>
      </w:tblGrid>
      <w:tr>
        <w:trPr/>
        <w:tc>
          <w:tcPr>
            <w:gridSpan w:val="2"/>
            <w:tcW w:w="1726" w:type="dxa"/>
            <w:vAlign w:val="center"/>
            <w:textDirection w:val="lrTb"/>
            <w:noWrap w:val="false"/>
          </w:tcPr>
          <w:p>
            <w:pPr>
              <w:pStyle w:val="1140"/>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5753" w:type="dxa"/>
            <w:vAlign w:val="top"/>
            <w:textDirection w:val="lrTb"/>
            <w:noWrap w:val="false"/>
          </w:tcPr>
          <w:p>
            <w:pPr>
              <w:pStyle w:val="1140"/>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2268" w:type="dxa"/>
            <w:vAlign w:val="top"/>
            <w:textDirection w:val="lrTb"/>
            <w:noWrap w:val="false"/>
          </w:tcPr>
          <w:p>
            <w:pPr>
              <w:pStyle w:val="1140"/>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1140"/>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widowControl/>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bl>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142"/>
        <w:jc w:val="center"/>
        <w:rPr>
          <w:rFonts w:ascii="Times New Roman" w:hAnsi="Times New Roman" w:eastAsia="宋体"/>
          <w:color w:val="000000"/>
          <w:szCs w:val="24"/>
          <w:highlight w:val="none"/>
        </w:rPr>
      </w:pPr>
      <w:r/>
      <w:bookmarkStart w:id="232" w:name="_Toc15249"/>
      <w:r/>
      <w:bookmarkStart w:id="233" w:name="_Toc27676"/>
      <w:r>
        <w:rPr>
          <w:rFonts w:ascii="Times New Roman" w:hAnsi="Times New Roman" w:eastAsia="宋体"/>
          <w:color w:val="000000"/>
          <w:szCs w:val="24"/>
          <w:highlight w:val="none"/>
        </w:rPr>
        <w:t xml:space="preserve">评审索引表</w:t>
      </w:r>
      <w:bookmarkEnd w:id="232"/>
      <w:r/>
      <w:bookmarkEnd w:id="233"/>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bl>
    <w:p>
      <w:pPr>
        <w:pStyle w:val="1140"/>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1140"/>
        <w:spacing w:line="440" w:lineRule="exact"/>
        <w:rPr>
          <w:b/>
          <w:bCs/>
          <w:color w:val="000000"/>
          <w:sz w:val="24"/>
          <w:highlight w:val="none"/>
        </w:rPr>
        <w:outlineLvl w:val="1"/>
      </w:pPr>
      <w:r>
        <w:rPr>
          <w:color w:val="000000"/>
          <w:szCs w:val="24"/>
          <w:highlight w:val="none"/>
        </w:rPr>
        <w:br w:type="page" w:clear="all"/>
      </w:r>
      <w:bookmarkStart w:id="234" w:name="_Toc9091"/>
      <w:r>
        <w:rPr>
          <w:b/>
          <w:bCs/>
          <w:color w:val="000000"/>
          <w:sz w:val="24"/>
          <w:highlight w:val="none"/>
        </w:rPr>
        <w:t xml:space="preserve">附件一 投标函格式</w:t>
      </w:r>
      <w:bookmarkEnd w:id="231"/>
      <w:r/>
      <w:bookmarkEnd w:id="234"/>
      <w:r>
        <w:rPr>
          <w:b/>
          <w:bCs/>
          <w:color w:val="000000"/>
          <w:sz w:val="24"/>
          <w:highlight w:val="none"/>
        </w:rPr>
      </w:r>
      <w:r/>
    </w:p>
    <w:p>
      <w:pPr>
        <w:pStyle w:val="1140"/>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140"/>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140"/>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1140"/>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1140"/>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140"/>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140"/>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140"/>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spacing w:line="440" w:lineRule="exact"/>
        <w:rPr>
          <w:b/>
          <w:bCs/>
          <w:color w:val="000000"/>
          <w:sz w:val="24"/>
          <w:szCs w:val="22"/>
          <w:highlight w:val="none"/>
        </w:rPr>
        <w:outlineLvl w:val="1"/>
      </w:pPr>
      <w:r/>
      <w:bookmarkStart w:id="235" w:name="_Toc4696429"/>
      <w:r/>
      <w:bookmarkStart w:id="236" w:name="_Toc19674"/>
      <w:r>
        <w:rPr>
          <w:b/>
          <w:bCs/>
          <w:color w:val="000000"/>
          <w:sz w:val="24"/>
          <w:szCs w:val="22"/>
          <w:highlight w:val="none"/>
        </w:rPr>
        <w:t xml:space="preserve">附件二 开标一览表</w:t>
      </w:r>
      <w:bookmarkEnd w:id="235"/>
      <w:r/>
      <w:bookmarkEnd w:id="236"/>
      <w:r>
        <w:rPr>
          <w:b/>
          <w:bCs/>
          <w:color w:val="000000"/>
          <w:sz w:val="24"/>
          <w:szCs w:val="22"/>
          <w:highlight w:val="none"/>
        </w:rPr>
      </w:r>
      <w:r/>
    </w:p>
    <w:p>
      <w:pPr>
        <w:pStyle w:val="1140"/>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140"/>
        <w:spacing w:line="440" w:lineRule="exact"/>
        <w:rPr>
          <w:color w:val="000000"/>
          <w:highlight w:val="none"/>
        </w:rPr>
      </w:pPr>
      <w:r>
        <w:rPr>
          <w:color w:val="000000"/>
          <w:highlight w:val="none"/>
        </w:rPr>
      </w:r>
      <w:r/>
    </w:p>
    <w:p>
      <w:pPr>
        <w:pStyle w:val="1140"/>
        <w:spacing w:after="156" w:line="440" w:lineRule="exact"/>
        <w:rPr>
          <w:color w:val="000000"/>
          <w:szCs w:val="21"/>
          <w:highlight w:val="none"/>
        </w:rPr>
      </w:pPr>
      <w:r>
        <w:rPr>
          <w:color w:val="000000"/>
          <w:szCs w:val="21"/>
          <w:highlight w:val="none"/>
        </w:rPr>
        <w:t xml:space="preserve">招标编号：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140"/>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140"/>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所投品牌</w:t>
            </w:r>
            <w:r>
              <w:rPr>
                <w:rFonts w:hint="eastAsia"/>
                <w:color w:val="000000"/>
                <w:szCs w:val="21"/>
                <w:highlight w:val="none"/>
              </w:rPr>
              <w:t xml:space="preserve">和型号</w:t>
            </w:r>
            <w:r>
              <w:rPr>
                <w:color w:val="000000"/>
                <w:szCs w:val="21"/>
                <w:highlight w:val="none"/>
              </w:rPr>
            </w:r>
            <w:r/>
          </w:p>
        </w:tc>
        <w:tc>
          <w:tcPr>
            <w:tcW w:w="6898" w:type="dxa"/>
            <w:vAlign w:val="center"/>
            <w:textDirection w:val="lrTb"/>
            <w:noWrap w:val="false"/>
          </w:tcPr>
          <w:p>
            <w:pPr>
              <w:pStyle w:val="1140"/>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140"/>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140"/>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149"/>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1140"/>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7" w:name="_Toc4696430"/>
      <w:r>
        <w:rPr>
          <w:b/>
          <w:bCs/>
          <w:color w:val="000000"/>
          <w:sz w:val="24"/>
          <w:szCs w:val="22"/>
          <w:highlight w:val="none"/>
        </w:rPr>
      </w:r>
      <w:r/>
    </w:p>
    <w:p>
      <w:pPr>
        <w:pStyle w:val="1140"/>
        <w:spacing w:line="440" w:lineRule="exact"/>
        <w:rPr>
          <w:b/>
          <w:bCs/>
          <w:color w:val="000000"/>
          <w:sz w:val="24"/>
          <w:szCs w:val="22"/>
          <w:highlight w:val="none"/>
        </w:rPr>
        <w:outlineLvl w:val="1"/>
      </w:pPr>
      <w:r/>
      <w:bookmarkStart w:id="238" w:name="_Toc3300"/>
      <w:r>
        <w:rPr>
          <w:b/>
          <w:bCs/>
          <w:color w:val="000000"/>
          <w:sz w:val="24"/>
          <w:szCs w:val="22"/>
          <w:highlight w:val="none"/>
        </w:rPr>
        <w:t xml:space="preserve">附件三 分项报价表</w:t>
      </w:r>
      <w:bookmarkEnd w:id="238"/>
      <w:r>
        <w:rPr>
          <w:b/>
          <w:bCs/>
          <w:color w:val="000000"/>
          <w:sz w:val="24"/>
          <w:szCs w:val="22"/>
          <w:highlight w:val="none"/>
        </w:rPr>
      </w:r>
      <w:r/>
    </w:p>
    <w:p>
      <w:pPr>
        <w:pStyle w:val="1140"/>
        <w:spacing w:line="440" w:lineRule="exact"/>
        <w:rPr>
          <w:b/>
          <w:bCs/>
          <w:color w:val="000000"/>
          <w:sz w:val="24"/>
          <w:szCs w:val="22"/>
          <w:highlight w:val="none"/>
        </w:rPr>
      </w:pPr>
      <w:r>
        <w:rPr>
          <w:b/>
          <w:bCs/>
          <w:color w:val="000000"/>
          <w:sz w:val="24"/>
          <w:szCs w:val="22"/>
          <w:highlight w:val="none"/>
        </w:rPr>
      </w:r>
      <w:r/>
    </w:p>
    <w:p>
      <w:pPr>
        <w:pStyle w:val="1140"/>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1140"/>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042"/>
        <w:gridCol w:w="1214"/>
        <w:gridCol w:w="1498"/>
        <w:gridCol w:w="988"/>
        <w:gridCol w:w="1459"/>
        <w:gridCol w:w="1460"/>
        <w:gridCol w:w="8"/>
      </w:tblGrid>
      <w:tr>
        <w:trPr>
          <w:gridAfter w:val="1"/>
        </w:trPr>
        <w:tc>
          <w:tcPr>
            <w:tcW w:w="73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446"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名 称</w:t>
            </w:r>
            <w:r>
              <w:rPr>
                <w:color w:val="000000"/>
                <w:szCs w:val="21"/>
                <w:highlight w:val="none"/>
              </w:rPr>
            </w:r>
            <w:r/>
          </w:p>
        </w:tc>
        <w:tc>
          <w:tcPr>
            <w:tcW w:w="1042"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214"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9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1140"/>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446" w:type="dxa"/>
            <w:vAlign w:val="top"/>
            <w:textDirection w:val="lrTb"/>
            <w:noWrap w:val="false"/>
          </w:tcPr>
          <w:p>
            <w:pPr>
              <w:pStyle w:val="1140"/>
              <w:ind w:left="-827" w:firstLine="827"/>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gridSpan w:val="4"/>
            <w:tcW w:w="4440"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13"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gridSpan w:val="9"/>
            <w:tcW w:w="9853" w:type="dxa"/>
            <w:vAlign w:val="top"/>
            <w:textDirection w:val="lrTb"/>
            <w:noWrap w:val="false"/>
          </w:tcPr>
          <w:p>
            <w:pPr>
              <w:pStyle w:val="1140"/>
              <w:spacing w:line="440" w:lineRule="exact"/>
              <w:rPr>
                <w:color w:val="000000"/>
                <w:szCs w:val="21"/>
                <w:highlight w:val="none"/>
              </w:rPr>
            </w:pPr>
            <w:r>
              <w:rPr>
                <w:color w:val="000000"/>
                <w:szCs w:val="21"/>
                <w:highlight w:val="none"/>
              </w:rPr>
              <w:t xml:space="preserve">本采购项目中提供的符合本国产品标准的产品成本之和占该采购包提供的全部产品成本之和的比例为</w:t>
            </w:r>
            <w:r>
              <w:rPr>
                <w:color w:val="000000"/>
                <w:szCs w:val="21"/>
                <w:highlight w:val="none"/>
                <w:u w:val="single"/>
              </w:rPr>
              <w:t xml:space="preserve">***</w:t>
            </w:r>
            <w:r>
              <w:rPr>
                <w:color w:val="000000"/>
                <w:szCs w:val="21"/>
                <w:highlight w:val="none"/>
              </w:rPr>
              <w:t xml:space="preserve">%。</w:t>
            </w:r>
            <w:r>
              <w:rPr>
                <w:color w:val="000000"/>
                <w:szCs w:val="21"/>
                <w:highlight w:val="none"/>
              </w:rPr>
            </w:r>
            <w:r/>
          </w:p>
        </w:tc>
      </w:tr>
    </w:tbl>
    <w:p>
      <w:pPr>
        <w:pStyle w:val="1140"/>
        <w:jc w:val="center"/>
        <w:spacing w:line="300" w:lineRule="auto"/>
        <w:rPr>
          <w:b/>
          <w:color w:val="000000"/>
          <w:szCs w:val="21"/>
          <w:highlight w:val="none"/>
        </w:rPr>
      </w:pPr>
      <w:r>
        <w:rPr>
          <w:b/>
          <w:color w:val="000000"/>
          <w:szCs w:val="21"/>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p>
    <w:p>
      <w:pPr>
        <w:pStyle w:val="1140"/>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1140"/>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1140"/>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1140"/>
        <w:spacing w:line="440" w:lineRule="exact"/>
        <w:rPr>
          <w:b/>
          <w:bCs/>
          <w:color w:val="000000"/>
          <w:szCs w:val="21"/>
          <w:highlight w:val="none"/>
        </w:rPr>
      </w:pPr>
      <w:r>
        <w:rPr>
          <w:b/>
          <w:bCs/>
          <w:color w:val="000000"/>
          <w:szCs w:val="21"/>
          <w:highlight w:val="none"/>
        </w:rPr>
      </w:r>
      <w:r/>
    </w:p>
    <w:p>
      <w:pPr>
        <w:pStyle w:val="1140"/>
        <w:spacing w:line="440" w:lineRule="exact"/>
        <w:rPr>
          <w:b/>
          <w:bCs/>
          <w:color w:val="000000"/>
          <w:szCs w:val="21"/>
          <w:highlight w:val="none"/>
        </w:rPr>
      </w:pPr>
      <w:r>
        <w:rPr>
          <w:b/>
          <w:bCs/>
          <w:color w:val="000000"/>
          <w:szCs w:val="21"/>
          <w:highlight w:val="none"/>
        </w:rPr>
      </w:r>
      <w:r/>
    </w:p>
    <w:p>
      <w:pPr>
        <w:pStyle w:val="1140"/>
        <w:spacing w:after="156" w:line="440" w:lineRule="exact"/>
        <w:rPr>
          <w:b/>
          <w:bCs/>
          <w:color w:val="000000"/>
          <w:sz w:val="24"/>
          <w:szCs w:val="22"/>
          <w:highlight w:val="none"/>
        </w:rPr>
        <w:outlineLvl w:val="1"/>
      </w:pPr>
      <w:r/>
      <w:bookmarkStart w:id="239" w:name="_Toc13418"/>
      <w:r>
        <w:rPr>
          <w:rFonts w:hint="eastAsia" w:eastAsia="仿宋"/>
          <w:color w:val="000000"/>
          <w:sz w:val="28"/>
          <w:szCs w:val="28"/>
          <w:highlight w:val="none"/>
        </w:rPr>
        <w:br w:type="page" w:clear="all"/>
      </w:r>
      <w:bookmarkStart w:id="240" w:name="_Toc22663"/>
      <w:r>
        <w:rPr>
          <w:rFonts w:hint="eastAsia"/>
          <w:b/>
          <w:bCs/>
          <w:color w:val="000000"/>
          <w:sz w:val="24"/>
          <w:szCs w:val="22"/>
          <w:highlight w:val="none"/>
        </w:rPr>
        <w:t xml:space="preserve">附件四 </w:t>
      </w:r>
      <w:bookmarkEnd w:id="239"/>
      <w:r>
        <w:rPr>
          <w:b/>
          <w:bCs/>
          <w:color w:val="000000"/>
          <w:sz w:val="24"/>
          <w:szCs w:val="22"/>
          <w:highlight w:val="none"/>
        </w:rPr>
        <w:t xml:space="preserve">商务条款偏离表</w:t>
      </w:r>
      <w:bookmarkEnd w:id="237"/>
      <w:r/>
      <w:bookmarkEnd w:id="240"/>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合同履行期限（交货期）</w:t>
            </w: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bl>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合同履行期限（交货期）、售后服务要求、付款方式等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140"/>
        <w:numPr>
          <w:ilvl w:val="0"/>
          <w:numId w:val="11"/>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140"/>
        <w:ind w:firstLine="5494"/>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spacing w:after="156" w:line="440" w:lineRule="exact"/>
        <w:rPr>
          <w:b/>
          <w:bCs/>
          <w:color w:val="000000"/>
          <w:sz w:val="24"/>
          <w:szCs w:val="22"/>
          <w:highlight w:val="none"/>
        </w:rPr>
        <w:outlineLvl w:val="1"/>
      </w:pPr>
      <w:r/>
      <w:bookmarkStart w:id="241" w:name="_Toc4696431"/>
      <w:r/>
      <w:bookmarkStart w:id="242" w:name="_Toc21128"/>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41"/>
      <w:r/>
      <w:bookmarkEnd w:id="242"/>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4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1140"/>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1140"/>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1140"/>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1140"/>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40"/>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bl>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1140"/>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1140"/>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140"/>
        <w:spacing w:after="156" w:line="440" w:lineRule="exact"/>
        <w:rPr>
          <w:b/>
          <w:bCs/>
          <w:color w:val="000000"/>
          <w:sz w:val="24"/>
          <w:szCs w:val="22"/>
          <w:highlight w:val="none"/>
        </w:rPr>
        <w:outlineLvl w:val="1"/>
      </w:pPr>
      <w:r/>
      <w:bookmarkStart w:id="243" w:name="_Toc4696432"/>
      <w:r>
        <w:rPr>
          <w:b/>
          <w:bCs/>
          <w:color w:val="000000"/>
          <w:sz w:val="24"/>
          <w:szCs w:val="22"/>
          <w:highlight w:val="none"/>
        </w:rPr>
        <w:br w:type="page" w:clear="all"/>
      </w:r>
      <w:bookmarkEnd w:id="243"/>
      <w:r/>
      <w:bookmarkStart w:id="244" w:name="_Toc3385"/>
      <w:r/>
      <w:bookmarkStart w:id="245" w:name="_Toc19975"/>
      <w:r/>
      <w:bookmarkStart w:id="246" w:name="_Toc22161"/>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44"/>
      <w:r>
        <w:rPr>
          <w:b/>
          <w:bCs/>
          <w:color w:val="000000"/>
          <w:sz w:val="24"/>
          <w:szCs w:val="22"/>
          <w:highlight w:val="none"/>
        </w:rPr>
      </w:r>
      <w:r/>
    </w:p>
    <w:p>
      <w:pPr>
        <w:pStyle w:val="1140"/>
        <w:numPr>
          <w:ilvl w:val="0"/>
          <w:numId w:val="12"/>
        </w:numPr>
        <w:jc w:val="center"/>
        <w:spacing w:line="360" w:lineRule="auto"/>
        <w:rPr>
          <w:b/>
          <w:color w:val="000000"/>
          <w:sz w:val="30"/>
          <w:szCs w:val="30"/>
          <w:highlight w:val="none"/>
          <w:lang w:bidi="ar"/>
        </w:rPr>
        <w:outlineLvl w:val="2"/>
      </w:pPr>
      <w:r/>
      <w:bookmarkStart w:id="247" w:name="_Toc15857"/>
      <w:r/>
      <w:bookmarkStart w:id="248" w:name="_Toc26121"/>
      <w:r/>
      <w:bookmarkStart w:id="249" w:name="_Toc25785"/>
      <w:r>
        <w:rPr>
          <w:b/>
          <w:bCs/>
          <w:color w:val="000000"/>
          <w:szCs w:val="21"/>
          <w:highlight w:val="none"/>
        </w:rPr>
        <w:t xml:space="preserve">《中小企业声明函》</w:t>
      </w:r>
      <w:bookmarkEnd w:id="247"/>
      <w:r/>
      <w:bookmarkEnd w:id="248"/>
      <w:r/>
      <w:bookmarkEnd w:id="249"/>
      <w:r>
        <w:rPr>
          <w:b/>
          <w:color w:val="000000"/>
          <w:sz w:val="30"/>
          <w:szCs w:val="30"/>
          <w:highlight w:val="none"/>
          <w:lang w:bidi="ar"/>
        </w:rPr>
      </w:r>
      <w:r/>
    </w:p>
    <w:p>
      <w:pPr>
        <w:pStyle w:val="1187"/>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1140"/>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40"/>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140"/>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140"/>
        <w:ind w:firstLine="594"/>
        <w:spacing w:line="360" w:lineRule="auto"/>
        <w:rPr>
          <w:color w:val="000000"/>
          <w:spacing w:val="-6"/>
          <w:szCs w:val="21"/>
          <w:highlight w:val="none"/>
        </w:rPr>
      </w:pPr>
      <w:r>
        <w:rPr>
          <w:color w:val="000000"/>
          <w:spacing w:val="-6"/>
          <w:szCs w:val="21"/>
          <w:highlight w:val="none"/>
        </w:rPr>
      </w:r>
      <w:r/>
    </w:p>
    <w:p>
      <w:pPr>
        <w:pStyle w:val="1140"/>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14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140"/>
        <w:ind w:right="-20"/>
        <w:spacing w:line="360" w:lineRule="auto"/>
        <w:rPr>
          <w:rFonts w:hint="eastAsia" w:ascii="宋体" w:hAnsi="宋体" w:cs="宋体"/>
          <w:color w:val="000000"/>
          <w:position w:val="-2"/>
          <w:sz w:val="22"/>
          <w:highlight w:val="none"/>
        </w:rPr>
      </w:pPr>
      <w:r>
        <w:rPr>
          <w:rFonts w:hint="eastAsia" w:ascii="宋体" w:hAnsi="宋体" w:cs="宋体"/>
          <w:color w:val="000000"/>
          <w:position w:val="-2"/>
          <w:sz w:val="22"/>
          <w:highlight w:val="none"/>
          <w:vertAlign w:val="superscript"/>
        </w:rPr>
        <w:t xml:space="preserve">1</w:t>
      </w:r>
      <w:r>
        <w:rPr>
          <w:rFonts w:hint="eastAsia" w:ascii="宋体" w:hAnsi="宋体" w:cs="宋体"/>
          <w:color w:val="000000"/>
          <w:position w:val="-2"/>
          <w:sz w:val="22"/>
          <w:highlight w:val="none"/>
        </w:rPr>
        <w:t xml:space="preserve">从业人员、营业收入、资产总额填报上一年度数据，无上一年度数据的新成立企业可不填报。</w:t>
      </w:r>
      <w:r>
        <w:rPr>
          <w:rFonts w:hint="eastAsia" w:ascii="宋体" w:hAnsi="宋体" w:cs="宋体"/>
          <w:color w:val="000000"/>
          <w:position w:val="-2"/>
          <w:sz w:val="22"/>
          <w:highlight w:val="none"/>
        </w:rPr>
      </w:r>
      <w:r/>
    </w:p>
    <w:p>
      <w:pPr>
        <w:pStyle w:val="1140"/>
        <w:spacing w:line="360" w:lineRule="auto"/>
        <w:rPr>
          <w:b/>
          <w:bCs/>
          <w:color w:val="000000"/>
          <w:szCs w:val="21"/>
          <w:highlight w:val="none"/>
        </w:rPr>
      </w:pPr>
      <w:r>
        <w:rPr>
          <w:b/>
          <w:bCs/>
          <w:color w:val="000000"/>
          <w:szCs w:val="21"/>
          <w:highlight w:val="none"/>
        </w:rPr>
      </w:r>
      <w:r/>
    </w:p>
    <w:p>
      <w:pPr>
        <w:pStyle w:val="1140"/>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14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1</w:t>
      </w:r>
      <w:r>
        <w:rPr>
          <w:color w:val="000000"/>
          <w:szCs w:val="21"/>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color w:val="000000"/>
          <w:szCs w:val="21"/>
          <w:highlight w:val="none"/>
        </w:rPr>
      </w:r>
      <w:r/>
    </w:p>
    <w:p>
      <w:pPr>
        <w:pStyle w:val="1140"/>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供应商提供的货物全部由符合政策要求的中小企业制造的参加本次政府采购项目需提供此声明函。</w:t>
      </w:r>
      <w:r>
        <w:rPr>
          <w:color w:val="000000"/>
          <w:szCs w:val="21"/>
          <w:highlight w:val="none"/>
        </w:rPr>
      </w:r>
      <w:r/>
    </w:p>
    <w:p>
      <w:pPr>
        <w:pStyle w:val="1140"/>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rPr>
          <w:color w:val="000000"/>
          <w:szCs w:val="21"/>
          <w:highlight w:val="none"/>
        </w:rPr>
      </w:r>
      <w:r/>
    </w:p>
    <w:p>
      <w:pPr>
        <w:pStyle w:val="114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4.</w:t>
      </w:r>
      <w:r>
        <w:rPr>
          <w:color w:val="000000"/>
          <w:szCs w:val="21"/>
          <w:highlight w:val="none"/>
        </w:rPr>
        <w:t xml:space="preserve">在货物采购项目中，供应商提供的货物既有中小企业制造货物，也有大型企业制造货物的，不享受本办法规定的中小企业扶持政策。</w:t>
      </w:r>
      <w:r>
        <w:rPr>
          <w:color w:val="000000"/>
          <w:szCs w:val="21"/>
          <w:highlight w:val="none"/>
        </w:rPr>
      </w:r>
      <w:r/>
    </w:p>
    <w:p>
      <w:pPr>
        <w:pStyle w:val="1140"/>
        <w:ind w:firstLine="420"/>
        <w:jc w:val="left"/>
        <w:spacing w:line="360" w:lineRule="auto"/>
        <w:rPr>
          <w:b/>
          <w:bCs/>
          <w:color w:val="000000"/>
          <w:szCs w:val="21"/>
          <w:highlight w:val="none"/>
        </w:rPr>
      </w:pPr>
      <w:r>
        <w:rPr>
          <w:rFonts w:hint="eastAsia"/>
          <w:color w:val="000000"/>
          <w:szCs w:val="21"/>
          <w:highlight w:val="none"/>
        </w:rPr>
        <w:t xml:space="preserve">5.</w:t>
      </w:r>
      <w:r>
        <w:rPr>
          <w:color w:val="000000"/>
          <w:szCs w:val="21"/>
          <w:highlight w:val="none"/>
        </w:rPr>
        <w:t xml:space="preserve">中标、成交供应商享受本办法规定的中小企业扶持政策的，《中小企业声明函》将随中标、成交结果公开，</w:t>
      </w:r>
      <w:r>
        <w:rPr>
          <w:b/>
          <w:bCs/>
          <w:color w:val="000000"/>
          <w:szCs w:val="21"/>
          <w:highlight w:val="none"/>
        </w:rPr>
        <w:t xml:space="preserve">中小企业应对其声明内容的真实性负责，声明函内容不实的，属于提供虚假材料谋取中标、成交，将依照《中华人民共和国政府采购法》等国家有关规定追究相应责任</w:t>
      </w:r>
      <w:r>
        <w:rPr>
          <w:color w:val="000000"/>
          <w:szCs w:val="21"/>
          <w:highlight w:val="none"/>
        </w:rPr>
        <w:t xml:space="preserve">。</w:t>
      </w:r>
      <w:r>
        <w:rPr>
          <w:b/>
          <w:bCs/>
          <w:color w:val="000000"/>
          <w:szCs w:val="21"/>
          <w:highlight w:val="none"/>
        </w:rPr>
      </w:r>
      <w:r/>
    </w:p>
    <w:p>
      <w:pPr>
        <w:pStyle w:val="1196"/>
        <w:rPr>
          <w:color w:val="000000"/>
          <w:highlight w:val="none"/>
        </w:rPr>
      </w:pPr>
      <w:r>
        <w:rPr>
          <w:color w:val="000000"/>
          <w:highlight w:val="none"/>
        </w:rPr>
      </w:r>
      <w:r/>
    </w:p>
    <w:p>
      <w:pPr>
        <w:pStyle w:val="1140"/>
        <w:jc w:val="center"/>
        <w:spacing w:line="360" w:lineRule="auto"/>
        <w:rPr>
          <w:b/>
          <w:bCs/>
          <w:color w:val="000000"/>
          <w:szCs w:val="21"/>
          <w:highlight w:val="none"/>
        </w:rPr>
        <w:outlineLvl w:val="2"/>
      </w:pPr>
      <w:r>
        <w:rPr>
          <w:b/>
          <w:bCs/>
          <w:color w:val="000000"/>
          <w:szCs w:val="21"/>
          <w:highlight w:val="none"/>
        </w:rPr>
        <w:br w:type="page" w:clear="all"/>
      </w:r>
      <w:bookmarkStart w:id="250" w:name="_Toc625"/>
      <w:r>
        <w:rPr>
          <w:b/>
          <w:bCs/>
          <w:color w:val="000000"/>
          <w:szCs w:val="21"/>
          <w:highlight w:val="none"/>
        </w:rPr>
        <w:t xml:space="preserve">（二）残疾人福利性单位声明函</w:t>
      </w:r>
      <w:bookmarkEnd w:id="245"/>
      <w:r/>
      <w:bookmarkEnd w:id="246"/>
      <w:r/>
      <w:bookmarkEnd w:id="250"/>
      <w:r>
        <w:rPr>
          <w:b/>
          <w:bCs/>
          <w:color w:val="000000"/>
          <w:szCs w:val="21"/>
          <w:highlight w:val="none"/>
        </w:rPr>
      </w:r>
      <w:r/>
    </w:p>
    <w:p>
      <w:pPr>
        <w:pStyle w:val="1140"/>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140"/>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114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4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40"/>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1140"/>
        <w:jc w:val="center"/>
        <w:spacing w:line="360" w:lineRule="auto"/>
        <w:rPr>
          <w:rFonts w:hint="eastAsia"/>
          <w:b/>
          <w:bCs/>
          <w:color w:val="000000"/>
          <w:szCs w:val="21"/>
          <w:highlight w:val="none"/>
        </w:rPr>
        <w:outlineLvl w:val="2"/>
      </w:pPr>
      <w:r>
        <w:rPr>
          <w:color w:val="000000"/>
          <w:spacing w:val="6"/>
          <w:sz w:val="24"/>
          <w:szCs w:val="24"/>
          <w:highlight w:val="none"/>
        </w:rPr>
        <w:br w:type="page" w:clear="all"/>
      </w:r>
      <w:bookmarkStart w:id="251" w:name="_Toc19404"/>
      <w:r>
        <w:rPr>
          <w:rFonts w:hint="eastAsia"/>
          <w:b/>
          <w:bCs/>
          <w:color w:val="000000"/>
          <w:szCs w:val="21"/>
          <w:highlight w:val="none"/>
        </w:rPr>
        <w:t xml:space="preserve">（三）采购本国产品的支持政策</w:t>
      </w:r>
      <w:bookmarkEnd w:id="251"/>
      <w:r>
        <w:rPr>
          <w:rFonts w:hint="eastAsia"/>
          <w:b/>
          <w:bCs/>
          <w:color w:val="000000"/>
          <w:szCs w:val="21"/>
          <w:highlight w:val="none"/>
        </w:rPr>
      </w:r>
      <w:r/>
    </w:p>
    <w:p>
      <w:pPr>
        <w:pStyle w:val="114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关于符合本国产品标准的声明函</w:t>
      </w:r>
      <w:r>
        <w:rPr>
          <w:rFonts w:hint="eastAsia" w:ascii="宋体" w:hAnsi="宋体" w:cs="宋体"/>
          <w:b/>
          <w:color w:val="000000"/>
          <w:sz w:val="24"/>
          <w:highlight w:val="none"/>
        </w:rPr>
      </w:r>
      <w:r/>
    </w:p>
    <w:p>
      <w:pPr>
        <w:pStyle w:val="1182"/>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Style w:val="1192"/>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192"/>
          <w:rFonts w:hint="eastAsia" w:ascii="宋体" w:hAnsi="宋体" w:eastAsia="宋体" w:cs="宋体"/>
          <w:i w:val="0"/>
          <w:color w:val="000000"/>
          <w:sz w:val="21"/>
          <w:szCs w:val="21"/>
          <w:highlight w:val="none"/>
          <w:u w:val="single"/>
          <w:shd w:val="clear" w:color="auto" w:fill="ffffff"/>
        </w:rPr>
        <w:t xml:space="preserve">（厂名）</w:t>
      </w:r>
      <w:r>
        <w:rPr>
          <w:rStyle w:val="1192"/>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19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192"/>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92"/>
          <w:rFonts w:hint="eastAsia" w:ascii="宋体" w:hAnsi="宋体" w:eastAsia="宋体" w:cs="宋体"/>
          <w:i w:val="0"/>
          <w:color w:val="000000"/>
          <w:sz w:val="21"/>
          <w:szCs w:val="21"/>
          <w:highlight w:val="none"/>
          <w:u w:val="single"/>
          <w:shd w:val="clear" w:color="auto" w:fill="ffffff"/>
        </w:rPr>
        <w:t xml:space="preserve">（规定比例）</w:t>
      </w:r>
      <w:r>
        <w:rPr>
          <w:rStyle w:val="1192"/>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（关键组件）</w:t>
      </w:r>
      <w:r>
        <w:rPr>
          <w:rStyle w:val="1192"/>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（关键工序）</w:t>
      </w:r>
      <w:r>
        <w:rPr>
          <w:rStyle w:val="1192"/>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192"/>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19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92"/>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182"/>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2"/>
        <w:ind w:right="480" w:firstLine="3255"/>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182"/>
        <w:jc w:val="center"/>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                                日期：　   年　  月　  日</w:t>
      </w: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rPr>
      </w:r>
      <w:r/>
    </w:p>
    <w:p>
      <w:pPr>
        <w:pStyle w:val="1182"/>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1140"/>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1140"/>
        <w:ind w:right="-5"/>
        <w:spacing w:line="360" w:lineRule="auto"/>
        <w:rPr>
          <w:b/>
          <w:color w:val="000000"/>
          <w:sz w:val="24"/>
          <w:szCs w:val="24"/>
          <w:highlight w:val="none"/>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p>
    <w:p>
      <w:pPr>
        <w:pStyle w:val="1140"/>
        <w:spacing w:after="156" w:line="440" w:lineRule="exact"/>
        <w:rPr>
          <w:b/>
          <w:bCs/>
          <w:color w:val="000000"/>
          <w:sz w:val="24"/>
          <w:szCs w:val="22"/>
          <w:highlight w:val="none"/>
          <w:lang w:val="zh-CN"/>
        </w:rPr>
        <w:outlineLvl w:val="1"/>
      </w:pPr>
      <w:r/>
      <w:bookmarkStart w:id="252" w:name="_Toc6821"/>
      <w:r/>
      <w:bookmarkStart w:id="253"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252"/>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1140"/>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140"/>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1140"/>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140"/>
        <w:rPr>
          <w:color w:val="000000"/>
          <w:highlight w:val="none"/>
          <w:lang w:val="zh-CN"/>
        </w:rPr>
      </w:pPr>
      <w:r>
        <w:rPr>
          <w:color w:val="000000"/>
          <w:highlight w:val="none"/>
          <w:lang w:val="zh-CN"/>
        </w:rPr>
        <w:t xml:space="preserve">注：</w:t>
      </w:r>
      <w:r>
        <w:rPr>
          <w:color w:val="000000"/>
          <w:highlight w:val="none"/>
          <w:lang w:val="zh-CN"/>
        </w:rPr>
      </w:r>
      <w:r/>
    </w:p>
    <w:p>
      <w:pPr>
        <w:pStyle w:val="1140"/>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140"/>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140"/>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1140"/>
        <w:spacing w:after="156" w:line="440" w:lineRule="exact"/>
        <w:rPr>
          <w:b/>
          <w:bCs/>
          <w:color w:val="000000"/>
          <w:sz w:val="24"/>
          <w:szCs w:val="22"/>
          <w:highlight w:val="none"/>
        </w:rPr>
        <w:outlineLvl w:val="1"/>
      </w:pPr>
      <w:r/>
      <w:bookmarkStart w:id="254" w:name="_Toc998"/>
      <w:r>
        <w:rPr>
          <w:b/>
          <w:bCs/>
          <w:color w:val="000000"/>
          <w:sz w:val="24"/>
          <w:szCs w:val="22"/>
          <w:highlight w:val="none"/>
          <w:lang w:val="zh-CN"/>
        </w:rPr>
        <w:br w:type="page" w:clear="all"/>
      </w:r>
      <w:bookmarkStart w:id="255" w:name="_Toc13834"/>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254"/>
      <w:r/>
      <w:bookmarkEnd w:id="255"/>
      <w:r>
        <w:rPr>
          <w:b/>
          <w:bCs/>
          <w:color w:val="000000"/>
          <w:sz w:val="24"/>
          <w:szCs w:val="22"/>
          <w:highlight w:val="none"/>
        </w:rPr>
      </w:r>
      <w:r/>
    </w:p>
    <w:p>
      <w:pPr>
        <w:pStyle w:val="1140"/>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中小企业划型标准规定</w:t>
      </w:r>
      <w:r>
        <w:rPr>
          <w:rFonts w:hint="eastAsia" w:ascii="宋体" w:hAnsi="宋体" w:cs="宋体"/>
          <w:b/>
          <w:bCs/>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二、中小企业划分为中型、小型、微型三种类型，具体标准根据企业从业人员、营业收入、资产总额等指标，结合行业特点制定。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四、各行业划型标准为：</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114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bCs/>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五、企业类型的划分以统计部门的统计数据为依据。</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八、本规定由工业和信息化部、国家统计局会同有关部门根据《国民经济行业分类》修订情况和企业发展变化情况适时修订。</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九、本规定由工业和信息化部、国家统计局会同有关部门负责解释。</w:t>
      </w:r>
      <w:r>
        <w:rPr>
          <w:rFonts w:hint="eastAsia" w:ascii="宋体" w:hAnsi="宋体" w:cs="宋体"/>
          <w:color w:val="000000"/>
          <w:szCs w:val="21"/>
          <w:highlight w:val="none"/>
        </w:rPr>
      </w:r>
      <w:r/>
    </w:p>
    <w:p>
      <w:pPr>
        <w:pStyle w:val="1140"/>
        <w:ind w:firstLine="420"/>
        <w:jc w:val="left"/>
        <w:spacing w:line="360" w:lineRule="auto"/>
        <w:rPr>
          <w:b/>
          <w:bCs/>
          <w:color w:val="000000"/>
          <w:sz w:val="24"/>
          <w:szCs w:val="22"/>
          <w:highlight w:val="none"/>
          <w:lang w:val="zh-CN"/>
        </w:rPr>
      </w:pPr>
      <w:r>
        <w:rPr>
          <w:rFonts w:hint="eastAsia" w:ascii="宋体" w:hAnsi="宋体" w:cs="宋体"/>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253"/>
      <w:r/>
      <w:bookmarkStart w:id="256" w:name="_Toc4696438"/>
      <w:r>
        <w:rPr>
          <w:b/>
          <w:bCs/>
          <w:color w:val="000000"/>
          <w:sz w:val="24"/>
          <w:szCs w:val="22"/>
          <w:highlight w:val="none"/>
          <w:lang w:val="zh-CN"/>
        </w:rPr>
      </w:r>
      <w:r/>
    </w:p>
    <w:p>
      <w:pPr>
        <w:pStyle w:val="1140"/>
        <w:spacing w:line="360" w:lineRule="auto"/>
        <w:rPr>
          <w:b/>
          <w:color w:val="000000"/>
          <w:highlight w:val="none"/>
        </w:rPr>
        <w:outlineLvl w:val="1"/>
      </w:pPr>
      <w:r/>
      <w:bookmarkStart w:id="257" w:name="_Toc29178"/>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256"/>
      <w:r/>
      <w:bookmarkEnd w:id="257"/>
      <w:r>
        <w:rPr>
          <w:b/>
          <w:color w:val="000000"/>
          <w:highlight w:val="none"/>
        </w:rPr>
      </w:r>
      <w:r/>
    </w:p>
    <w:p>
      <w:pPr>
        <w:pStyle w:val="1140"/>
        <w:jc w:val="left"/>
        <w:spacing w:line="360" w:lineRule="auto"/>
        <w:rPr>
          <w:b/>
          <w:bCs/>
          <w:color w:val="000000"/>
          <w:szCs w:val="21"/>
          <w:highlight w:val="none"/>
          <w:lang w:val="zh-CN"/>
        </w:rPr>
        <w:outlineLvl w:val="2"/>
      </w:pPr>
      <w:r/>
      <w:bookmarkStart w:id="258" w:name="_Toc16540"/>
      <w:r/>
      <w:bookmarkStart w:id="259" w:name="_Toc4696439"/>
      <w:r/>
      <w:bookmarkStart w:id="260" w:name="_Toc25088"/>
      <w:r>
        <w:rPr>
          <w:b/>
          <w:bCs/>
          <w:color w:val="000000"/>
          <w:szCs w:val="21"/>
          <w:highlight w:val="none"/>
          <w:lang w:val="zh-CN"/>
        </w:rPr>
        <w:t xml:space="preserve">1、法人或其他组织的营业执照等证明文件（复印件加盖公章）</w:t>
      </w:r>
      <w:bookmarkEnd w:id="258"/>
      <w:r/>
      <w:bookmarkEnd w:id="259"/>
      <w:r/>
      <w:bookmarkEnd w:id="260"/>
      <w:r>
        <w:rPr>
          <w:b/>
          <w:bCs/>
          <w:color w:val="000000"/>
          <w:szCs w:val="21"/>
          <w:highlight w:val="none"/>
          <w:lang w:val="zh-CN"/>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61" w:name="_Toc4696440"/>
      <w:r>
        <w:rPr>
          <w:b/>
          <w:bCs/>
          <w:color w:val="000000"/>
          <w:szCs w:val="21"/>
          <w:highlight w:val="none"/>
          <w:lang w:val="zh-CN"/>
        </w:rPr>
      </w:r>
      <w:r/>
    </w:p>
    <w:p>
      <w:pPr>
        <w:pStyle w:val="1140"/>
        <w:jc w:val="left"/>
        <w:spacing w:line="360" w:lineRule="auto"/>
        <w:rPr>
          <w:b/>
          <w:bCs/>
          <w:color w:val="000000"/>
          <w:szCs w:val="21"/>
          <w:highlight w:val="none"/>
          <w:lang w:val="zh-CN"/>
        </w:rPr>
        <w:outlineLvl w:val="2"/>
      </w:pPr>
      <w:r/>
      <w:bookmarkStart w:id="262" w:name="_Toc24738"/>
      <w:r/>
      <w:bookmarkStart w:id="263" w:name="_Toc31708"/>
      <w:r>
        <w:rPr>
          <w:b/>
          <w:bCs/>
          <w:color w:val="000000"/>
          <w:szCs w:val="21"/>
          <w:highlight w:val="none"/>
          <w:lang w:val="zh-CN"/>
        </w:rPr>
        <w:t xml:space="preserve">2、法人代表授权书</w:t>
      </w:r>
      <w:bookmarkEnd w:id="261"/>
      <w:r/>
      <w:bookmarkEnd w:id="262"/>
      <w:r/>
      <w:bookmarkEnd w:id="263"/>
      <w:r>
        <w:rPr>
          <w:b/>
          <w:bCs/>
          <w:color w:val="000000"/>
          <w:szCs w:val="21"/>
          <w:highlight w:val="none"/>
          <w:lang w:val="zh-CN"/>
        </w:rPr>
      </w:r>
      <w:r/>
    </w:p>
    <w:p>
      <w:pPr>
        <w:pStyle w:val="1140"/>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140"/>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140"/>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140"/>
        <w:spacing w:line="360" w:lineRule="auto"/>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140"/>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140"/>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40"/>
              <w:spacing w:line="440" w:lineRule="exact"/>
              <w:rPr>
                <w:b/>
                <w:color w:val="000000"/>
                <w:highlight w:val="none"/>
              </w:rPr>
            </w:pPr>
            <w:r>
              <w:rPr>
                <w:b/>
                <w:color w:val="000000"/>
                <w:highlight w:val="none"/>
              </w:rPr>
            </w:r>
            <w:r/>
          </w:p>
        </w:tc>
      </w:tr>
    </w:tbl>
    <w:p>
      <w:pPr>
        <w:pStyle w:val="1140"/>
        <w:spacing w:line="440" w:lineRule="exact"/>
        <w:rPr>
          <w:color w:val="000000"/>
          <w:szCs w:val="22"/>
          <w:highlight w:val="none"/>
        </w:rPr>
      </w:pPr>
      <w:r>
        <w:rPr>
          <w:color w:val="000000"/>
          <w:szCs w:val="22"/>
          <w:highlight w:val="none"/>
        </w:rPr>
      </w:r>
      <w:r/>
    </w:p>
    <w:p>
      <w:pPr>
        <w:pStyle w:val="1140"/>
        <w:spacing w:line="440" w:lineRule="exact"/>
        <w:rPr>
          <w:b/>
          <w:color w:val="000000"/>
          <w:highlight w:val="none"/>
        </w:rPr>
      </w:pPr>
      <w:r>
        <w:rPr>
          <w:b/>
          <w:color w:val="000000"/>
          <w:szCs w:val="22"/>
          <w:highlight w:val="none"/>
        </w:rPr>
        <w:t xml:space="preserve">附：授权代表身份证复印件及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b/>
          <w:color w:val="000000"/>
          <w:szCs w:val="22"/>
          <w:highlight w:val="none"/>
        </w:rPr>
        <w:t xml:space="preserve">内任意一月投标单位为其缴纳的社保证明。</w:t>
      </w:r>
      <w:r>
        <w:rPr>
          <w:b/>
          <w:color w:val="000000"/>
          <w:highlight w:val="none"/>
        </w:rPr>
      </w:r>
      <w:r/>
    </w:p>
    <w:p>
      <w:pPr>
        <w:pStyle w:val="1140"/>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1140"/>
        <w:jc w:val="left"/>
        <w:spacing w:line="360" w:lineRule="auto"/>
        <w:rPr>
          <w:b/>
          <w:bCs/>
          <w:color w:val="000000"/>
          <w:szCs w:val="21"/>
          <w:highlight w:val="none"/>
          <w:lang w:val="zh-CN"/>
        </w:rPr>
        <w:outlineLvl w:val="2"/>
      </w:pPr>
      <w:r/>
      <w:bookmarkStart w:id="264" w:name="_Toc5262"/>
      <w:r/>
      <w:bookmarkStart w:id="265" w:name="_Toc13344"/>
      <w:r/>
      <w:bookmarkStart w:id="266" w:name="_Toc12339"/>
      <w:r/>
      <w:bookmarkStart w:id="267" w:name="_Toc4696441"/>
      <w:r>
        <w:rPr>
          <w:b/>
          <w:bCs/>
          <w:color w:val="000000"/>
          <w:szCs w:val="21"/>
          <w:highlight w:val="none"/>
        </w:rPr>
        <w:t xml:space="preserve">3</w:t>
      </w:r>
      <w:r>
        <w:rPr>
          <w:b/>
          <w:bCs/>
          <w:color w:val="000000"/>
          <w:szCs w:val="21"/>
          <w:highlight w:val="none"/>
          <w:lang w:val="zh-CN"/>
        </w:rPr>
        <w:t xml:space="preserve">、制造商授权书（如需）</w:t>
      </w:r>
      <w:bookmarkEnd w:id="264"/>
      <w:r/>
      <w:bookmarkEnd w:id="265"/>
      <w:r/>
      <w:bookmarkEnd w:id="266"/>
      <w:r>
        <w:rPr>
          <w:b/>
          <w:bCs/>
          <w:color w:val="000000"/>
          <w:szCs w:val="21"/>
          <w:highlight w:val="none"/>
          <w:lang w:val="zh-CN"/>
        </w:rPr>
      </w:r>
      <w:r/>
    </w:p>
    <w:p>
      <w:pPr>
        <w:pStyle w:val="1140"/>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1140"/>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1140"/>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1140"/>
        <w:ind w:firstLine="480"/>
        <w:spacing w:line="360" w:lineRule="auto"/>
        <w:rPr>
          <w:color w:val="000000"/>
          <w:szCs w:val="21"/>
          <w:highlight w:val="none"/>
        </w:rPr>
      </w:pPr>
      <w:r>
        <w:rPr>
          <w:color w:val="000000"/>
          <w:szCs w:val="21"/>
          <w:highlight w:val="none"/>
        </w:rPr>
      </w:r>
      <w:r/>
    </w:p>
    <w:p>
      <w:pPr>
        <w:pStyle w:val="1140"/>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1140"/>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1140"/>
        <w:jc w:val="left"/>
        <w:spacing w:line="360" w:lineRule="auto"/>
        <w:rPr>
          <w:b/>
          <w:bCs/>
          <w:color w:val="000000"/>
          <w:szCs w:val="21"/>
          <w:highlight w:val="none"/>
          <w:lang w:val="zh-CN"/>
        </w:rPr>
      </w:pPr>
      <w:r>
        <w:rPr>
          <w:b/>
          <w:bCs/>
          <w:color w:val="000000"/>
          <w:szCs w:val="21"/>
          <w:highlight w:val="none"/>
          <w:lang w:val="zh-CN"/>
        </w:rPr>
      </w:r>
      <w:r/>
    </w:p>
    <w:p>
      <w:pPr>
        <w:pStyle w:val="1140"/>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268" w:name="_Toc27583"/>
      <w:r/>
      <w:bookmarkStart w:id="269" w:name="_Toc3675"/>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267"/>
      <w:r/>
      <w:bookmarkEnd w:id="268"/>
      <w:r/>
      <w:bookmarkEnd w:id="269"/>
      <w:r>
        <w:rPr>
          <w:b/>
          <w:bCs/>
          <w:color w:val="000000"/>
          <w:szCs w:val="21"/>
          <w:highlight w:val="none"/>
          <w:lang w:val="zh-CN"/>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Cs w:val="21"/>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highlight w:val="none"/>
        </w:rPr>
        <w:t xml:space="preserve">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szCs w:val="21"/>
          <w:highlight w:val="none"/>
        </w:rPr>
        <w:t xml:space="preserve">内），或</w:t>
      </w:r>
      <w:r>
        <w:rPr>
          <w:rFonts w:hint="eastAsia"/>
          <w:color w:val="000000"/>
          <w:szCs w:val="21"/>
          <w:highlight w:val="none"/>
        </w:rPr>
        <w:t xml:space="preserve">上一年度（2024年或2025年）</w:t>
      </w:r>
      <w:r>
        <w:rPr>
          <w:color w:val="000000"/>
          <w:szCs w:val="21"/>
          <w:highlight w:val="none"/>
        </w:rPr>
        <w:t xml:space="preserve">经审计的财务报告复印件加盖公章</w:t>
      </w:r>
      <w:r>
        <w:rPr>
          <w:color w:val="000000"/>
          <w:sz w:val="24"/>
          <w:highlight w:val="none"/>
        </w:rPr>
      </w:r>
      <w:r/>
    </w:p>
    <w:p>
      <w:pPr>
        <w:pStyle w:val="1140"/>
        <w:jc w:val="left"/>
        <w:spacing w:line="360" w:lineRule="auto"/>
        <w:rPr>
          <w:color w:val="000000"/>
          <w:szCs w:val="21"/>
          <w:highlight w:val="none"/>
          <w:lang w:val="zh-CN"/>
        </w:rPr>
      </w:pPr>
      <w:r>
        <w:rPr>
          <w:color w:val="000000"/>
          <w:szCs w:val="21"/>
          <w:highlight w:val="none"/>
          <w:lang w:val="zh-CN"/>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right="-5"/>
        <w:spacing w:line="440" w:lineRule="exact"/>
        <w:rPr>
          <w:color w:val="000000"/>
          <w:sz w:val="24"/>
          <w:highlight w:val="none"/>
        </w:rPr>
      </w:pPr>
      <w:r>
        <w:rPr>
          <w:color w:val="000000"/>
          <w:sz w:val="24"/>
          <w:highlight w:val="none"/>
        </w:rPr>
      </w:r>
      <w:r/>
    </w:p>
    <w:p>
      <w:pPr>
        <w:pStyle w:val="1140"/>
        <w:ind w:right="-5"/>
        <w:spacing w:line="440" w:lineRule="exact"/>
        <w:rPr>
          <w:color w:val="000000"/>
          <w:sz w:val="24"/>
          <w:highlight w:val="none"/>
        </w:rPr>
      </w:pPr>
      <w:r>
        <w:rPr>
          <w:color w:val="000000"/>
          <w:sz w:val="24"/>
          <w:highlight w:val="none"/>
        </w:rPr>
      </w:r>
      <w:r/>
    </w:p>
    <w:p>
      <w:pPr>
        <w:pStyle w:val="114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40"/>
        <w:jc w:val="left"/>
        <w:spacing w:line="360" w:lineRule="auto"/>
        <w:rPr>
          <w:b/>
          <w:bCs/>
          <w:color w:val="000000"/>
          <w:szCs w:val="21"/>
          <w:highlight w:val="none"/>
          <w:lang w:val="zh-CN"/>
        </w:rPr>
        <w:outlineLvl w:val="2"/>
      </w:pPr>
      <w:r/>
      <w:bookmarkStart w:id="270" w:name="_Toc16513"/>
      <w:r/>
      <w:bookmarkStart w:id="271" w:name="_Toc15262"/>
      <w:r/>
      <w:bookmarkStart w:id="272" w:name="_Toc32302"/>
      <w:r/>
      <w:bookmarkStart w:id="273" w:name="_Toc16265"/>
      <w:r/>
      <w:bookmarkStart w:id="274"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270"/>
      <w:r/>
      <w:bookmarkEnd w:id="271"/>
      <w:r/>
      <w:bookmarkEnd w:id="272"/>
      <w:r/>
      <w:bookmarkEnd w:id="273"/>
      <w:r>
        <w:rPr>
          <w:b/>
          <w:bCs/>
          <w:color w:val="000000"/>
          <w:szCs w:val="21"/>
          <w:highlight w:val="none"/>
          <w:lang w:val="zh-CN"/>
        </w:rPr>
      </w:r>
      <w:r/>
    </w:p>
    <w:p>
      <w:pPr>
        <w:pStyle w:val="1140"/>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highlight w:val="none"/>
        </w:rPr>
      </w:pPr>
      <w:r>
        <w:rPr>
          <w:color w:val="000000"/>
          <w:highlight w:val="none"/>
        </w:rPr>
        <w:t xml:space="preserve">承诺函参考格式：</w:t>
      </w:r>
      <w:r>
        <w:rPr>
          <w:color w:val="000000"/>
          <w:highlight w:val="none"/>
        </w:rPr>
      </w:r>
      <w:r/>
    </w:p>
    <w:p>
      <w:pPr>
        <w:pStyle w:val="1187"/>
        <w:ind w:firstLine="211"/>
        <w:jc w:val="center"/>
        <w:rPr>
          <w:rFonts w:ascii="Times New Roman"/>
          <w:b/>
          <w:color w:val="000000"/>
          <w:sz w:val="21"/>
          <w:highlight w:val="none"/>
        </w:rPr>
      </w:pPr>
      <w:r>
        <w:rPr>
          <w:rFonts w:ascii="Times New Roman"/>
          <w:b/>
          <w:color w:val="000000"/>
          <w:sz w:val="21"/>
          <w:highlight w:val="none"/>
        </w:rPr>
      </w:r>
      <w:r/>
    </w:p>
    <w:p>
      <w:pPr>
        <w:pStyle w:val="1187"/>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1187"/>
        <w:ind w:firstLine="210"/>
        <w:rPr>
          <w:rFonts w:ascii="Times New Roman"/>
          <w:color w:val="000000"/>
          <w:sz w:val="21"/>
          <w:highlight w:val="none"/>
        </w:rPr>
      </w:pPr>
      <w:r>
        <w:rPr>
          <w:rFonts w:ascii="Times New Roman"/>
          <w:color w:val="000000"/>
          <w:sz w:val="21"/>
          <w:highlight w:val="none"/>
        </w:rPr>
      </w:r>
      <w:r/>
    </w:p>
    <w:p>
      <w:pPr>
        <w:pStyle w:val="1187"/>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40"/>
        <w:jc w:val="left"/>
        <w:spacing w:line="360" w:lineRule="auto"/>
        <w:rPr>
          <w:b/>
          <w:bCs/>
          <w:color w:val="000000"/>
          <w:szCs w:val="21"/>
          <w:highlight w:val="none"/>
        </w:rPr>
        <w:outlineLvl w:val="2"/>
      </w:pPr>
      <w:r/>
      <w:bookmarkEnd w:id="274"/>
      <w:r/>
      <w:bookmarkStart w:id="275" w:name="_Toc1099"/>
      <w:r/>
      <w:bookmarkStart w:id="276" w:name="_Toc29180"/>
      <w:r/>
      <w:bookmarkStart w:id="277" w:name="_Toc22950"/>
      <w:r/>
      <w:bookmarkStart w:id="278" w:name="_Toc20859"/>
      <w:r/>
      <w:bookmarkStart w:id="279" w:name="_Toc4696444"/>
      <w:r>
        <w:rPr>
          <w:b/>
          <w:bCs/>
          <w:color w:val="000000"/>
          <w:szCs w:val="21"/>
          <w:highlight w:val="none"/>
        </w:rPr>
        <w:t xml:space="preserve">6、参加政府采购活动近三年内（成立时间不足三年的、自成立时间起），在经营活动中没有重大违法记录</w:t>
      </w:r>
      <w:bookmarkEnd w:id="275"/>
      <w:r/>
      <w:bookmarkEnd w:id="276"/>
      <w:r/>
      <w:bookmarkEnd w:id="277"/>
      <w:r/>
      <w:bookmarkEnd w:id="278"/>
      <w:r>
        <w:rPr>
          <w:b/>
          <w:bCs/>
          <w:color w:val="000000"/>
          <w:szCs w:val="21"/>
          <w:highlight w:val="none"/>
        </w:rPr>
      </w:r>
      <w:r/>
    </w:p>
    <w:p>
      <w:pPr>
        <w:pStyle w:val="1140"/>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1140"/>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1140"/>
        <w:rPr>
          <w:color w:val="000000"/>
          <w:sz w:val="30"/>
          <w:szCs w:val="30"/>
          <w:highlight w:val="none"/>
        </w:rPr>
      </w:pPr>
      <w:r>
        <w:rPr>
          <w:color w:val="000000"/>
          <w:sz w:val="30"/>
          <w:szCs w:val="30"/>
          <w:highlight w:val="none"/>
        </w:rPr>
      </w:r>
      <w:r/>
    </w:p>
    <w:p>
      <w:pPr>
        <w:pStyle w:val="1140"/>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140"/>
        <w:ind w:firstLine="420"/>
        <w:spacing w:line="360" w:lineRule="auto"/>
        <w:rPr>
          <w:color w:val="000000"/>
          <w:highlight w:val="none"/>
        </w:rPr>
      </w:pPr>
      <w:r>
        <w:rPr>
          <w:color w:val="000000"/>
          <w:highlight w:val="none"/>
        </w:rPr>
      </w:r>
      <w:r/>
    </w:p>
    <w:p>
      <w:pPr>
        <w:pStyle w:val="1140"/>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140"/>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140"/>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jc w:val="left"/>
        <w:spacing w:line="360" w:lineRule="auto"/>
        <w:rPr>
          <w:b/>
          <w:bCs/>
          <w:color w:val="000000"/>
          <w:szCs w:val="21"/>
          <w:highlight w:val="none"/>
        </w:rPr>
        <w:outlineLvl w:val="2"/>
      </w:pPr>
      <w:r>
        <w:rPr>
          <w:b/>
          <w:bCs/>
          <w:color w:val="000000"/>
          <w:szCs w:val="21"/>
          <w:highlight w:val="none"/>
        </w:rPr>
        <w:br w:type="page" w:clear="all"/>
      </w:r>
      <w:bookmarkStart w:id="280" w:name="_Toc5285"/>
      <w:r/>
      <w:bookmarkStart w:id="281" w:name="_Toc20967"/>
      <w:r>
        <w:rPr>
          <w:b/>
          <w:bCs/>
          <w:color w:val="000000"/>
          <w:szCs w:val="21"/>
          <w:highlight w:val="none"/>
        </w:rPr>
        <w:t xml:space="preserve">7、依法缴纳税收的记录</w:t>
      </w:r>
      <w:bookmarkEnd w:id="279"/>
      <w:r/>
      <w:bookmarkEnd w:id="280"/>
      <w:r/>
      <w:bookmarkEnd w:id="281"/>
      <w:r>
        <w:rPr>
          <w:b/>
          <w:bCs/>
          <w:color w:val="000000"/>
          <w:szCs w:val="21"/>
          <w:highlight w:val="none"/>
        </w:rPr>
      </w:r>
      <w:r/>
    </w:p>
    <w:p>
      <w:pPr>
        <w:pStyle w:val="1140"/>
        <w:spacing w:after="120" w:line="440" w:lineRule="exact"/>
        <w:rPr>
          <w:b/>
          <w:color w:val="000000"/>
          <w:highlight w:val="none"/>
          <w:u w:val="singl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highlight w:val="none"/>
        </w:rPr>
        <w:t xml:space="preserve">内任意一月份的纳税</w:t>
      </w:r>
      <w:r>
        <w:rPr>
          <w:rFonts w:hint="eastAsia"/>
          <w:color w:val="000000"/>
          <w:szCs w:val="22"/>
          <w:highlight w:val="none"/>
        </w:rPr>
        <w:t xml:space="preserve">（企业代缴的个人所得税除外）</w:t>
      </w:r>
      <w:r>
        <w:rPr>
          <w:color w:val="000000"/>
          <w:highlight w:val="none"/>
        </w:rPr>
        <w:t xml:space="preserve">凭据复印件加盖公章（依法免税的应提供相应文件说明）</w:t>
      </w:r>
      <w:r>
        <w:rPr>
          <w:color w:val="000000"/>
          <w:szCs w:val="21"/>
          <w:highlight w:val="none"/>
          <w:lang w:bidi="en-US"/>
        </w:rPr>
        <w:t xml:space="preserve">；</w:t>
      </w:r>
      <w:r>
        <w:rPr>
          <w:b/>
          <w:color w:val="000000"/>
          <w:highlight w:val="none"/>
          <w:u w:val="singl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jc w:val="left"/>
        <w:spacing w:line="360" w:lineRule="auto"/>
        <w:rPr>
          <w:b/>
          <w:bCs/>
          <w:color w:val="000000"/>
          <w:szCs w:val="21"/>
          <w:highlight w:val="none"/>
        </w:rPr>
        <w:outlineLvl w:val="2"/>
      </w:pPr>
      <w:r/>
      <w:bookmarkStart w:id="282" w:name="_Toc10831"/>
      <w:r/>
      <w:bookmarkStart w:id="283" w:name="_Toc4696445"/>
      <w:r/>
      <w:bookmarkStart w:id="284" w:name="_Toc31178"/>
      <w:r>
        <w:rPr>
          <w:b/>
          <w:bCs/>
          <w:color w:val="000000"/>
          <w:szCs w:val="21"/>
          <w:highlight w:val="none"/>
        </w:rPr>
        <w:t xml:space="preserve">8、依法缴纳社会保障资金的记录</w:t>
      </w:r>
      <w:bookmarkEnd w:id="282"/>
      <w:r/>
      <w:bookmarkEnd w:id="283"/>
      <w:r/>
      <w:bookmarkEnd w:id="284"/>
      <w:r>
        <w:rPr>
          <w:b/>
          <w:bCs/>
          <w:color w:val="000000"/>
          <w:szCs w:val="21"/>
          <w:highlight w:val="none"/>
        </w:rPr>
      </w:r>
      <w:r/>
    </w:p>
    <w:p>
      <w:pPr>
        <w:pStyle w:val="1140"/>
        <w:spacing w:line="360" w:lineRule="auto"/>
        <w:rPr>
          <w:color w:val="000000"/>
          <w:szCs w:val="21"/>
          <w:highlight w:val="none"/>
          <w:lang w:bidi="en-US"/>
        </w:rPr>
      </w:pPr>
      <w:r>
        <w:rPr>
          <w:color w:val="000000"/>
          <w:szCs w:val="21"/>
          <w:highlight w:val="none"/>
          <w:lang w:bidi="en-US"/>
        </w:rPr>
      </w:r>
      <w:r/>
    </w:p>
    <w:p>
      <w:pPr>
        <w:pStyle w:val="1140"/>
        <w:spacing w:line="440" w:lineRule="exact"/>
        <w:rPr>
          <w:color w:val="000000"/>
          <w:sz w:val="24"/>
          <w:szCs w:val="24"/>
          <w:highlight w:val="non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rPr>
        <w:t xml:space="preserve">1</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6</w:t>
      </w:r>
      <w:r>
        <w:rPr>
          <w:b/>
          <w:color w:val="000000"/>
          <w:szCs w:val="22"/>
          <w:highlight w:val="none"/>
        </w:rPr>
        <w:t xml:space="preserve">月</w:t>
      </w:r>
      <w:r>
        <w:rPr>
          <w:color w:val="000000"/>
          <w:highlight w:val="none"/>
        </w:rPr>
        <w:t xml:space="preserve">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b/>
          <w:color w:val="000000"/>
          <w:highlight w:val="none"/>
        </w:rPr>
      </w:pPr>
      <w:r>
        <w:rPr>
          <w:b/>
          <w:color w:val="000000"/>
          <w:highlight w:val="none"/>
        </w:rPr>
        <w:t xml:space="preserve">  </w:t>
      </w: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b/>
          <w:color w:val="000000"/>
          <w:highlight w:val="none"/>
        </w:rPr>
      </w:pPr>
      <w:r>
        <w:rPr>
          <w:b/>
          <w:color w:val="000000"/>
          <w:highlight w:val="none"/>
        </w:rPr>
      </w:r>
      <w:r/>
    </w:p>
    <w:p>
      <w:pPr>
        <w:pStyle w:val="1140"/>
        <w:jc w:val="center"/>
        <w:spacing w:line="440" w:lineRule="exact"/>
        <w:rPr>
          <w:color w:val="000000"/>
          <w:highlight w:val="none"/>
        </w:rPr>
      </w:pPr>
      <w:r>
        <w:rPr>
          <w:color w:val="000000"/>
          <w:highlight w:val="none"/>
        </w:rPr>
      </w:r>
      <w:r/>
    </w:p>
    <w:p>
      <w:pPr>
        <w:pStyle w:val="1140"/>
        <w:spacing w:line="360" w:lineRule="auto"/>
        <w:shd w:val="clear" w:color="auto" w:fill="ffffff"/>
        <w:widowControl/>
        <w:rPr>
          <w:b/>
          <w:bCs/>
          <w:color w:val="000000"/>
          <w:szCs w:val="21"/>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1140"/>
        <w:jc w:val="left"/>
        <w:spacing w:line="440" w:lineRule="exact"/>
        <w:rPr>
          <w:color w:val="000000"/>
          <w:szCs w:val="21"/>
          <w:highlight w:val="none"/>
        </w:rPr>
        <w:outlineLvl w:val="2"/>
      </w:pPr>
      <w:r/>
      <w:bookmarkStart w:id="285" w:name="_Toc18317"/>
      <w:r/>
      <w:bookmarkStart w:id="286" w:name="_Toc25302"/>
      <w:r/>
      <w:bookmarkStart w:id="287" w:name="_Toc4696448"/>
      <w:r>
        <w:rPr>
          <w:b/>
          <w:bCs/>
          <w:color w:val="000000"/>
          <w:szCs w:val="21"/>
          <w:highlight w:val="none"/>
        </w:rPr>
        <w:t xml:space="preserve">9、本项目不接受联合体投标，中标后不允许分包、转包。</w:t>
      </w:r>
      <w:bookmarkEnd w:id="285"/>
      <w:r/>
      <w:bookmarkEnd w:id="286"/>
      <w:r>
        <w:rPr>
          <w:color w:val="000000"/>
          <w:szCs w:val="21"/>
          <w:highlight w:val="none"/>
        </w:rPr>
      </w:r>
      <w:r/>
    </w:p>
    <w:p>
      <w:pPr>
        <w:pStyle w:val="1140"/>
        <w:jc w:val="center"/>
        <w:spacing w:line="440" w:lineRule="exact"/>
        <w:rPr>
          <w:b/>
          <w:bCs/>
          <w:color w:val="000000"/>
          <w:sz w:val="24"/>
          <w:szCs w:val="22"/>
          <w:highlight w:val="none"/>
        </w:rPr>
      </w:pPr>
      <w:r>
        <w:rPr>
          <w:b/>
          <w:bCs/>
          <w:color w:val="000000"/>
          <w:sz w:val="24"/>
          <w:szCs w:val="22"/>
          <w:highlight w:val="none"/>
        </w:rPr>
      </w:r>
      <w:r/>
    </w:p>
    <w:p>
      <w:pPr>
        <w:pStyle w:val="1140"/>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1140"/>
        <w:rPr>
          <w:color w:val="000000"/>
          <w:sz w:val="24"/>
          <w:szCs w:val="22"/>
          <w:highlight w:val="none"/>
        </w:rPr>
      </w:pPr>
      <w:r>
        <w:rPr>
          <w:color w:val="000000"/>
          <w:sz w:val="24"/>
          <w:szCs w:val="22"/>
          <w:highlight w:val="none"/>
        </w:rPr>
      </w:r>
      <w:r/>
    </w:p>
    <w:p>
      <w:pPr>
        <w:pStyle w:val="1140"/>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1140"/>
        <w:rPr>
          <w:color w:val="000000"/>
          <w:sz w:val="24"/>
          <w:szCs w:val="22"/>
          <w:highlight w:val="none"/>
        </w:rPr>
      </w:pPr>
      <w:r>
        <w:rPr>
          <w:color w:val="000000"/>
          <w:sz w:val="24"/>
          <w:szCs w:val="22"/>
          <w:highlight w:val="none"/>
        </w:rPr>
      </w:r>
      <w:r/>
    </w:p>
    <w:p>
      <w:pPr>
        <w:pStyle w:val="1140"/>
        <w:ind w:left="-2" w:right="-5"/>
        <w:spacing w:line="360" w:lineRule="auto"/>
        <w:rPr>
          <w:color w:val="000000"/>
          <w:szCs w:val="21"/>
          <w:highlight w:val="none"/>
        </w:rPr>
      </w:pPr>
      <w:r>
        <w:rPr>
          <w:color w:val="000000"/>
          <w:szCs w:val="21"/>
          <w:highlight w:val="none"/>
        </w:rPr>
      </w:r>
      <w:r/>
    </w:p>
    <w:p>
      <w:pPr>
        <w:pStyle w:val="1140"/>
        <w:ind w:left="-2" w:right="-5"/>
        <w:spacing w:line="360" w:lineRule="auto"/>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1140"/>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1140"/>
        <w:jc w:val="left"/>
        <w:spacing w:line="360" w:lineRule="auto"/>
        <w:rPr>
          <w:rFonts w:hint="eastAsia"/>
          <w:b/>
          <w:bCs/>
          <w:color w:val="000000"/>
          <w:szCs w:val="21"/>
          <w:highlight w:val="none"/>
        </w:rPr>
        <w:outlineLvl w:val="2"/>
      </w:pPr>
      <w:r>
        <w:rPr>
          <w:b/>
          <w:bCs/>
          <w:color w:val="000000"/>
          <w:szCs w:val="21"/>
          <w:highlight w:val="none"/>
        </w:rPr>
        <w:br w:type="page" w:clear="all"/>
      </w:r>
      <w:bookmarkStart w:id="288" w:name="_Toc12552"/>
      <w:r/>
      <w:bookmarkStart w:id="289" w:name="_Toc32400"/>
      <w:r>
        <w:rPr>
          <w:b/>
          <w:bCs/>
          <w:color w:val="000000"/>
          <w:szCs w:val="21"/>
          <w:highlight w:val="none"/>
        </w:rPr>
        <w:t xml:space="preserve">10、</w:t>
      </w:r>
      <w:r>
        <w:rPr>
          <w:rFonts w:hint="eastAsia"/>
          <w:b/>
          <w:bCs/>
          <w:color w:val="000000"/>
          <w:szCs w:val="21"/>
          <w:highlight w:val="none"/>
        </w:rPr>
        <w:t xml:space="preserve">1）投标人为医疗器械经营企业的，须根据投标产品的类别，提供投标人的《医疗器械经营许可证》或者《二类医疗器械经营备案凭证》（复印件加盖公章）；</w:t>
      </w:r>
      <w:bookmarkEnd w:id="288"/>
      <w:r>
        <w:rPr>
          <w:rFonts w:hint="eastAsia"/>
          <w:b/>
          <w:bCs/>
          <w:color w:val="000000"/>
          <w:szCs w:val="21"/>
          <w:highlight w:val="none"/>
        </w:rPr>
      </w:r>
      <w:r/>
    </w:p>
    <w:p>
      <w:pPr>
        <w:pStyle w:val="1140"/>
        <w:jc w:val="left"/>
        <w:spacing w:line="360" w:lineRule="auto"/>
        <w:rPr>
          <w:rFonts w:hint="eastAsia"/>
          <w:b/>
          <w:bCs/>
          <w:color w:val="000000"/>
          <w:szCs w:val="21"/>
          <w:highlight w:val="none"/>
        </w:rPr>
        <w:outlineLvl w:val="2"/>
      </w:pPr>
      <w:r/>
      <w:bookmarkStart w:id="290" w:name="_Toc26661"/>
      <w:r>
        <w:rPr>
          <w:rFonts w:hint="eastAsia"/>
          <w:b/>
          <w:bCs/>
          <w:color w:val="000000"/>
          <w:szCs w:val="21"/>
          <w:highlight w:val="none"/>
        </w:rPr>
        <w:t xml:space="preserve">2）医疗器械生产企业投标本企业产品的，须提供《医疗器械生产许可证》（复印件加盖公章）</w:t>
      </w:r>
      <w:bookmarkEnd w:id="290"/>
      <w:r>
        <w:rPr>
          <w:rFonts w:hint="eastAsia"/>
          <w:b/>
          <w:bCs/>
          <w:color w:val="000000"/>
          <w:szCs w:val="21"/>
          <w:highlight w:val="none"/>
        </w:rPr>
      </w:r>
      <w:r/>
    </w:p>
    <w:p>
      <w:pPr>
        <w:pStyle w:val="1140"/>
        <w:jc w:val="left"/>
        <w:spacing w:line="360" w:lineRule="auto"/>
        <w:rPr>
          <w:rFonts w:hint="eastAsia"/>
          <w:b/>
          <w:bCs/>
          <w:color w:val="000000"/>
          <w:szCs w:val="21"/>
          <w:highlight w:val="none"/>
        </w:rPr>
        <w:outlineLvl w:val="2"/>
      </w:pPr>
      <w:r/>
      <w:bookmarkStart w:id="291" w:name="_Toc25759"/>
      <w:r>
        <w:rPr>
          <w:rFonts w:hint="eastAsia"/>
          <w:b/>
          <w:bCs/>
          <w:color w:val="000000"/>
          <w:szCs w:val="21"/>
          <w:highlight w:val="none"/>
        </w:rPr>
        <w:t xml:space="preserve">3）提供产品医疗器械注册证复印件加盖公章。</w:t>
      </w:r>
      <w:bookmarkEnd w:id="291"/>
      <w:r>
        <w:rPr>
          <w:rFonts w:hint="eastAsia"/>
          <w:b/>
          <w:bCs/>
          <w:color w:val="000000"/>
          <w:szCs w:val="21"/>
          <w:highlight w:val="none"/>
        </w:rPr>
      </w:r>
      <w:r/>
    </w:p>
    <w:p>
      <w:pPr>
        <w:pStyle w:val="1140"/>
        <w:jc w:val="left"/>
        <w:spacing w:line="360" w:lineRule="auto"/>
        <w:rPr>
          <w:b/>
          <w:bCs/>
          <w:color w:val="000000"/>
          <w:szCs w:val="21"/>
          <w:highlight w:val="none"/>
        </w:rPr>
        <w:outlineLvl w:val="9"/>
      </w:pPr>
      <w:r>
        <w:rPr>
          <w:b/>
          <w:bCs/>
          <w:color w:val="000000"/>
          <w:szCs w:val="21"/>
          <w:highlight w:val="none"/>
        </w:rPr>
      </w:r>
      <w:r/>
    </w:p>
    <w:p>
      <w:pPr>
        <w:pStyle w:val="1140"/>
        <w:spacing w:line="440" w:lineRule="exact"/>
        <w:rPr>
          <w:b/>
          <w:color w:val="000000"/>
          <w:highlight w:val="none"/>
        </w:rPr>
      </w:pPr>
      <w:r/>
      <w:bookmarkEnd w:id="287"/>
      <w:r/>
      <w:bookmarkEnd w:id="289"/>
      <w:r>
        <w:rPr>
          <w:color w:val="000000"/>
          <w:sz w:val="24"/>
          <w:highlight w:val="none"/>
        </w:rPr>
        <w:t xml:space="preserve">    </w:t>
      </w:r>
      <w:r>
        <w:rPr>
          <w:b/>
          <w:color w:val="000000"/>
          <w:highlight w:val="none"/>
        </w:rPr>
        <w:t xml:space="preserve">      </w:t>
      </w: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b/>
          <w:color w:val="000000"/>
          <w:highlight w:val="none"/>
        </w:rPr>
      </w:pPr>
      <w:r>
        <w:rPr>
          <w:b/>
          <w:color w:val="000000"/>
          <w:highlight w:val="none"/>
        </w:rPr>
      </w:r>
      <w:r/>
    </w:p>
    <w:p>
      <w:pPr>
        <w:pStyle w:val="1140"/>
        <w:ind w:right="-5"/>
        <w:jc w:val="center"/>
        <w:spacing w:line="440" w:lineRule="exact"/>
        <w:rPr>
          <w:color w:val="000000"/>
          <w:sz w:val="32"/>
          <w:szCs w:val="32"/>
          <w:highlight w:val="none"/>
        </w:rPr>
      </w:pPr>
      <w:r>
        <w:rPr>
          <w:b/>
          <w:color w:val="000000"/>
          <w:highlight w:val="none"/>
        </w:rPr>
        <w:br w:type="page" w:clear="all"/>
      </w:r>
      <w:bookmarkStart w:id="292" w:name="_Toc23362"/>
      <w:r/>
      <w:bookmarkStart w:id="293" w:name="_Toc4696449"/>
      <w:r>
        <w:rPr>
          <w:color w:val="000000"/>
          <w:sz w:val="32"/>
          <w:szCs w:val="32"/>
          <w:highlight w:val="none"/>
        </w:rPr>
        <w:t xml:space="preserve">江大附院招投标工作廉政协议书</w:t>
      </w:r>
      <w:bookmarkEnd w:id="292"/>
      <w:r>
        <w:rPr>
          <w:color w:val="000000"/>
          <w:sz w:val="32"/>
          <w:szCs w:val="32"/>
          <w:highlight w:val="none"/>
        </w:rPr>
      </w:r>
      <w:r/>
    </w:p>
    <w:p>
      <w:pPr>
        <w:pStyle w:val="1140"/>
        <w:spacing w:line="240" w:lineRule="exact"/>
        <w:rPr>
          <w:color w:val="000000"/>
          <w:szCs w:val="21"/>
          <w:highlight w:val="none"/>
        </w:rPr>
      </w:pPr>
      <w:r>
        <w:rPr>
          <w:color w:val="000000"/>
          <w:szCs w:val="21"/>
          <w:highlight w:val="none"/>
        </w:rPr>
        <w:t xml:space="preserve">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项目名称：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甲方：</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乙方：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一、甲方的廉政责任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（一）甲方工作人员有责任向乙方介绍本单位有关廉政建设的制度、规定。甲方的纪检监察人员有权对双方在招、投标及合同执行过程中的廉政情况进行监督。</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（二）甲方工作人员不得向乙方泄露招、投标中的商业秘密。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（三）甲方工作人员在招、投标过程中以及合同执行过程中，不得以任何形式向乙方索要贿赂、收受回扣或变相收受贿赂。</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（四）对乙方主动给予的钱（含有价证券）、物，甲方工作人员要坚决谢绝，无法拒绝的要在两周内上交甲方的纪检监察部门或上级纪检监察部门。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（五）甲方工作人员负责在招标及执行合同过程中，召开廉政会议，通报情况，解决廉政建设问题。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（六）甲方工作人员在招标及执行合同过程中，必须遵守廉洁自律的其他有关规定。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二、乙方的廉政责任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（一）乙方有权了解甲方在廉政建设方面的各项制度和规定，并主动配合甲方遵守执行。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（二）乙方的工作人员不得以任何方式向甲方工作人员了解招投标中的商业秘密。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（三）乙方的工作</w:t>
      </w:r>
      <w:r>
        <w:rPr>
          <w:color w:val="000000"/>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（四）乙方有责任对本单位工作人员进行廉政教育，按时参加甲方的廉政会议。</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（五）乙方发现甲方工作人员有不廉政的行为，必须在48小时内署名报告甲方的纪检监察人员或有关领导。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三、违约责任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（一）甲方工作人员违反廉政责任，经调查属实的，甲方将依据党、政纪对当事人视情况予以通报批评、警告、记过等处分。情节严重者将追究其经济与法律责任。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四、协议的生效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（一）本协议在双方签字盖章后即生效。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（二）本协议一式两份，双方各执一份。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（三）本协议在本次招、投标及合同授予、履行的过程中保持有效，并作为主合同的附件。</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甲方： </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40"/>
        <w:spacing w:line="360" w:lineRule="auto"/>
        <w:rPr>
          <w:color w:val="000000"/>
          <w:szCs w:val="21"/>
          <w:highlight w:val="none"/>
        </w:rPr>
      </w:pP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乙方：</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40"/>
        <w:jc w:val="left"/>
        <w:spacing w:line="360" w:lineRule="auto"/>
        <w:rPr>
          <w:b/>
          <w:color w:val="000000"/>
          <w:highlight w:val="none"/>
        </w:rPr>
      </w:pPr>
      <w:r>
        <w:rPr>
          <w:b/>
          <w:color w:val="000000"/>
          <w:highlight w:val="none"/>
        </w:rPr>
      </w:r>
      <w:r/>
    </w:p>
    <w:p>
      <w:pPr>
        <w:pStyle w:val="1140"/>
        <w:jc w:val="left"/>
        <w:spacing w:line="360" w:lineRule="auto"/>
        <w:rPr>
          <w:b/>
          <w:color w:val="000000"/>
          <w:highlight w:val="none"/>
        </w:rPr>
        <w:outlineLvl w:val="1"/>
      </w:pPr>
      <w:r>
        <w:rPr>
          <w:b/>
          <w:color w:val="000000"/>
          <w:highlight w:val="none"/>
        </w:rPr>
        <w:br w:type="page" w:clear="all"/>
      </w:r>
      <w:bookmarkStart w:id="294" w:name="_Toc13552"/>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 其他相关文件</w:t>
      </w:r>
      <w:bookmarkEnd w:id="293"/>
      <w:r/>
      <w:bookmarkEnd w:id="294"/>
      <w:r>
        <w:rPr>
          <w:b/>
          <w:color w:val="000000"/>
          <w:highlight w:val="none"/>
        </w:rPr>
      </w:r>
      <w:r/>
    </w:p>
    <w:p>
      <w:pPr>
        <w:pStyle w:val="1140"/>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196"/>
        <w:ind w:firstLine="422"/>
        <w:rPr>
          <w:b/>
          <w:color w:val="000000"/>
          <w:szCs w:val="21"/>
          <w:highlight w:val="none"/>
          <w:lang w:val="zh-CN"/>
        </w:rPr>
      </w:pPr>
      <w:r>
        <w:rPr>
          <w:b/>
          <w:color w:val="000000"/>
          <w:szCs w:val="21"/>
          <w:highlight w:val="none"/>
          <w:lang w:val="zh-CN"/>
        </w:rPr>
      </w:r>
      <w:r/>
    </w:p>
    <w:p>
      <w:pPr>
        <w:pStyle w:val="1196"/>
        <w:ind w:firstLine="0"/>
        <w:rPr>
          <w:b/>
          <w:color w:val="000000"/>
          <w:szCs w:val="21"/>
          <w:highlight w:val="none"/>
        </w:rPr>
      </w:pPr>
      <w:r>
        <w:rPr>
          <w:b/>
          <w:color w:val="000000"/>
          <w:szCs w:val="21"/>
          <w:highlight w:val="none"/>
        </w:rPr>
      </w:r>
      <w:r/>
    </w:p>
    <w:p>
      <w:pPr>
        <w:pStyle w:val="1196"/>
        <w:ind w:firstLine="0"/>
        <w:rPr>
          <w:b/>
          <w:color w:val="000000"/>
          <w:szCs w:val="21"/>
          <w:highlight w:val="none"/>
        </w:rPr>
      </w:pPr>
      <w:r>
        <w:rPr>
          <w:b/>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Tahoma">
    <w:panose1 w:val="020B0604030504040204"/>
  </w:font>
  <w:font w:name="Calibri">
    <w:panose1 w:val="020F0502020204030204"/>
  </w:font>
  <w:font w:name="微软雅黑">
    <w:panose1 w:val="020B050302020402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0"/>
        <w:rFonts w:hint="eastAsia"/>
      </w:rPr>
    </w:pPr>
    <w:r>
      <w:rPr>
        <w:rStyle w:val="1190"/>
        <w:rFonts w:hint="eastAsia"/>
      </w:rPr>
      <w:t xml:space="preserve">            </w:t>
    </w:r>
    <w:r>
      <w:rPr>
        <w:rStyle w:val="1190"/>
        <w:rFonts w:hint="eastAsia"/>
      </w:rPr>
    </w:r>
    <w:r/>
  </w:p>
  <w:p>
    <w:pPr>
      <w:pStyle w:val="1171"/>
      <w:tabs>
        <w:tab w:val="center" w:pos="4153" w:leader="none"/>
        <w:tab w:val="right" w:pos="8306" w:leader="none"/>
      </w:tabs>
      <w:rPr>
        <w:rStyle w:val="1190"/>
        <w:rFonts w:hint="eastAsia"/>
      </w:rPr>
      <w:framePr w:wrap="around" w:vAnchor="text" w:hAnchor="page" w:x="6104" w:y="52"/>
    </w:pPr>
    <w:r>
      <w:rPr>
        <w:rStyle w:val="1190"/>
        <w:rFonts w:hint="eastAsia"/>
      </w:rPr>
      <w:t xml:space="preserve">                   </w:t>
    </w:r>
    <w:r>
      <w:rPr>
        <w:rStyle w:val="1190"/>
        <w:rFonts w:hint="eastAsia"/>
      </w:rPr>
    </w:r>
    <w:r/>
  </w:p>
  <w:p>
    <w:pPr>
      <w:pStyle w:val="1171"/>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7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Pr>
        <w:lang w:val="zh-CN"/>
      </w:rPr>
      <w:t xml:space="preserve"> </w:t>
    </w:r>
    <w:r/>
  </w:p>
  <w:p>
    <w:pPr>
      <w:pStyle w:val="1171"/>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40"/>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4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7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4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7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40"/>
                    </w:pPr>
                    <w:r/>
                    <w:r/>
                  </w:p>
                </w:txbxContent>
              </v:textbox>
            </v:shape>
          </w:pict>
        </mc:Fallback>
      </mc:AlternateContent>
    </w:r>
    <w:r/>
  </w:p>
  <w:p>
    <w:pPr>
      <w:pStyle w:val="117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40"/>
                    </w:pPr>
                    <w:r/>
                    <w:r/>
                  </w:p>
                </w:txbxContent>
              </v:textbox>
            </v:shape>
          </w:pict>
        </mc:Fallback>
      </mc:AlternateContent>
    </w:r>
    <w:r/>
  </w:p>
  <w:p>
    <w:pPr>
      <w:pStyle w:val="1171"/>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40"/>
                    </w:pPr>
                    <w:r/>
                    <w:r/>
                  </w:p>
                </w:txbxContent>
              </v:textbox>
            </v:shape>
          </w:pict>
        </mc:Fallback>
      </mc:AlternateContent>
    </w:r>
    <w:r/>
  </w:p>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40"/>
        <w:ind w:left="1025" w:hanging="600"/>
        <w:tabs>
          <w:tab w:val="num" w:pos="10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3">
    <w:multiLevelType w:val="hybridMultilevel"/>
    <w:lvl w:ilvl="0">
      <w:start w:val="1"/>
      <w:numFmt w:val="decimal"/>
      <w:isLgl w:val="false"/>
      <w:suff w:val="tab"/>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4">
    <w:multiLevelType w:val="hybridMultilevel"/>
    <w:lvl w:ilvl="0">
      <w:start w:val="1"/>
      <w:numFmt w:val="decimal"/>
      <w:isLgl w:val="false"/>
      <w:suff w:val="tab"/>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5">
    <w:multiLevelType w:val="hybridMultilevel"/>
    <w:lvl w:ilvl="0">
      <w:start w:val="1"/>
      <w:numFmt w:val="chineseCountingThousand"/>
      <w:pStyle w:val="1220"/>
      <w:isLgl w:val="false"/>
      <w:suff w:val="tab"/>
      <w:lvlText w:val="%1、"/>
      <w:lvlJc w:val="left"/>
      <w:pPr>
        <w:pStyle w:val="1140"/>
        <w:ind w:left="720" w:hanging="720"/>
      </w:pPr>
    </w:lvl>
    <w:lvl w:ilvl="1">
      <w:start w:val="1"/>
      <w:numFmt w:val="decimal"/>
      <w:isLgl w:val="false"/>
      <w:suff w:val="tab"/>
      <w:lvlText w:val="%2."/>
      <w:lvlJc w:val="left"/>
      <w:pPr>
        <w:pStyle w:val="1140"/>
        <w:ind w:left="765" w:hanging="345"/>
      </w:pPr>
      <w:rPr>
        <w:rFonts w:hAnsi="Times New Roman"/>
      </w:r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6">
    <w:multiLevelType w:val="hybridMultilevel"/>
    <w:lvl w:ilvl="0">
      <w:start w:val="1"/>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140"/>
        <w:ind w:left="1440" w:hanging="1440"/>
      </w:pPr>
    </w:lvl>
    <w:lvl w:ilvl="1">
      <w:start w:val="1"/>
      <w:numFmt w:val="lowerLetter"/>
      <w:isLgl w:val="false"/>
      <w:suff w:val="tab"/>
      <w:lvlText w:val="%2)"/>
      <w:lvlJc w:val="left"/>
      <w:pPr>
        <w:pStyle w:val="1140"/>
        <w:ind w:left="840" w:hanging="420"/>
      </w:p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8">
    <w:multiLevelType w:val="hybridMultilevel"/>
    <w:lvl w:ilvl="0">
      <w:start w:val="2"/>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10">
    <w:multiLevelType w:val="hybridMultilevel"/>
    <w:lvl w:ilvl="0">
      <w:start w:val="1"/>
      <w:numFmt w:val="japaneseCounting"/>
      <w:isLgl w:val="false"/>
      <w:suff w:val="tab"/>
      <w:lvlText w:val="%1、"/>
      <w:lvlJc w:val="left"/>
      <w:pPr>
        <w:pStyle w:val="1140"/>
        <w:ind w:left="420" w:hanging="420"/>
      </w:pPr>
      <w:rPr>
        <w:strike w:val="0"/>
        <w:u w:val="none"/>
      </w:r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11">
    <w:multiLevelType w:val="hybridMultilevel"/>
    <w:lvl w:ilvl="0">
      <w:start w:val="4"/>
      <w:numFmt w:val="japaneseCounting"/>
      <w:isLgl w:val="false"/>
      <w:suff w:val="tab"/>
      <w:lvlText w:val="%1、"/>
      <w:lvlJc w:val="left"/>
      <w:pPr>
        <w:pStyle w:val="1140"/>
        <w:ind w:left="420" w:hanging="420"/>
        <w:tabs>
          <w:tab w:val="num" w:pos="420" w:leader="none"/>
        </w:tabs>
      </w:pPr>
      <w:rPr>
        <w:rFonts w:hint="eastAsia"/>
      </w:rPr>
    </w:lvl>
    <w:lvl w:ilvl="1">
      <w:start w:val="1"/>
      <w:numFmt w:val="lowerLetter"/>
      <w:isLgl w:val="false"/>
      <w:suff w:val="tab"/>
      <w:lvlText w:val="%2)"/>
      <w:lvlJc w:val="left"/>
      <w:pPr>
        <w:pStyle w:val="1140"/>
        <w:ind w:left="840" w:hanging="420"/>
        <w:tabs>
          <w:tab w:val="num" w:pos="840" w:leader="none"/>
        </w:tabs>
      </w:pPr>
    </w:lvl>
    <w:lvl w:ilvl="2">
      <w:start w:val="1"/>
      <w:numFmt w:val="decimal"/>
      <w:isLgl w:val="false"/>
      <w:suff w:val="tab"/>
      <w:lvlText w:val="%3）"/>
      <w:lvlJc w:val="left"/>
      <w:pPr>
        <w:pStyle w:val="1140"/>
        <w:ind w:left="1200" w:hanging="360"/>
        <w:tabs>
          <w:tab w:val="num" w:pos="1200" w:leader="none"/>
        </w:tabs>
      </w:pPr>
      <w:rPr>
        <w:rFonts w:hint="eastAsia"/>
      </w:rPr>
    </w:lvl>
    <w:lvl w:ilvl="3">
      <w:start w:val="1"/>
      <w:numFmt w:val="decimal"/>
      <w:isLgl w:val="false"/>
      <w:suff w:val="tab"/>
      <w:lvlText w:val="%4."/>
      <w:lvlJc w:val="left"/>
      <w:pPr>
        <w:pStyle w:val="1140"/>
        <w:ind w:left="1680" w:hanging="420"/>
        <w:tabs>
          <w:tab w:val="num" w:pos="1680" w:leader="none"/>
        </w:tabs>
      </w:pPr>
    </w:lvl>
    <w:lvl w:ilvl="4">
      <w:start w:val="1"/>
      <w:numFmt w:val="lowerLetter"/>
      <w:isLgl w:val="false"/>
      <w:suff w:val="tab"/>
      <w:lvlText w:val="%5)"/>
      <w:lvlJc w:val="left"/>
      <w:pPr>
        <w:pStyle w:val="1140"/>
        <w:ind w:left="2100" w:hanging="420"/>
        <w:tabs>
          <w:tab w:val="num" w:pos="2100" w:leader="none"/>
        </w:tabs>
      </w:pPr>
    </w:lvl>
    <w:lvl w:ilvl="5">
      <w:start w:val="1"/>
      <w:numFmt w:val="lowerRoman"/>
      <w:isLgl w:val="false"/>
      <w:suff w:val="tab"/>
      <w:lvlText w:val="%6."/>
      <w:lvlJc w:val="right"/>
      <w:pPr>
        <w:pStyle w:val="1140"/>
        <w:ind w:left="2520" w:hanging="420"/>
        <w:tabs>
          <w:tab w:val="num" w:pos="2520" w:leader="none"/>
        </w:tabs>
      </w:pPr>
    </w:lvl>
    <w:lvl w:ilvl="6">
      <w:start w:val="1"/>
      <w:numFmt w:val="decimal"/>
      <w:isLgl w:val="false"/>
      <w:suff w:val="tab"/>
      <w:lvlText w:val="%7."/>
      <w:lvlJc w:val="left"/>
      <w:pPr>
        <w:pStyle w:val="1140"/>
        <w:ind w:left="2940" w:hanging="420"/>
        <w:tabs>
          <w:tab w:val="num" w:pos="2940" w:leader="none"/>
        </w:tabs>
      </w:pPr>
    </w:lvl>
    <w:lvl w:ilvl="7">
      <w:start w:val="1"/>
      <w:numFmt w:val="lowerLetter"/>
      <w:isLgl w:val="false"/>
      <w:suff w:val="tab"/>
      <w:lvlText w:val="%8)"/>
      <w:lvlJc w:val="left"/>
      <w:pPr>
        <w:pStyle w:val="1140"/>
        <w:ind w:left="3360" w:hanging="420"/>
        <w:tabs>
          <w:tab w:val="num" w:pos="3360" w:leader="none"/>
        </w:tabs>
      </w:pPr>
    </w:lvl>
    <w:lvl w:ilvl="8">
      <w:start w:val="1"/>
      <w:numFmt w:val="lowerRoman"/>
      <w:isLgl w:val="false"/>
      <w:suff w:val="tab"/>
      <w:lvlText w:val="%9."/>
      <w:lvlJc w:val="right"/>
      <w:pPr>
        <w:pStyle w:val="1140"/>
        <w:ind w:left="3780" w:hanging="420"/>
        <w:tabs>
          <w:tab w:val="num" w:pos="3780" w:leader="none"/>
        </w:tabs>
      </w:pPr>
    </w:lvl>
  </w:abstractNum>
  <w:num w:numId="1">
    <w:abstractNumId w:val="5"/>
  </w:num>
  <w:num w:numId="2">
    <w:abstractNumId w:val="7"/>
  </w:num>
  <w:num w:numId="3">
    <w:abstractNumId w:val="1"/>
  </w:num>
  <w:num w:numId="4">
    <w:abstractNumId w:val="0"/>
  </w:num>
  <w:num w:numId="5">
    <w:abstractNumId w:val="10"/>
  </w:num>
  <w:num w:numId="6">
    <w:abstractNumId w:val="3"/>
  </w:num>
  <w:num w:numId="7">
    <w:abstractNumId w:val="11"/>
  </w:num>
  <w:num w:numId="8">
    <w:abstractNumId w:val="2"/>
  </w:num>
  <w:num w:numId="9">
    <w:abstractNumId w:val="9"/>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name w:val="Heading 1"/>
    <w:basedOn w:val="1140"/>
    <w:next w:val="1140"/>
    <w:link w:val="966"/>
    <w:uiPriority w:val="9"/>
    <w:qFormat/>
    <w:pPr>
      <w:keepLines/>
      <w:keepNext/>
      <w:spacing w:before="480" w:after="200"/>
      <w:outlineLvl w:val="0"/>
    </w:pPr>
    <w:rPr>
      <w:rFonts w:ascii="Arial" w:hAnsi="Arial" w:eastAsia="Arial" w:cs="Arial"/>
      <w:sz w:val="40"/>
      <w:szCs w:val="40"/>
    </w:rPr>
  </w:style>
  <w:style w:type="character" w:styleId="966">
    <w:name w:val="Heading 1 Char"/>
    <w:link w:val="965"/>
    <w:uiPriority w:val="9"/>
    <w:rPr>
      <w:rFonts w:ascii="Arial" w:hAnsi="Arial" w:eastAsia="Arial" w:cs="Arial"/>
      <w:sz w:val="40"/>
      <w:szCs w:val="40"/>
    </w:rPr>
  </w:style>
  <w:style w:type="paragraph" w:styleId="967">
    <w:name w:val="Heading 2"/>
    <w:basedOn w:val="1140"/>
    <w:next w:val="1140"/>
    <w:link w:val="968"/>
    <w:uiPriority w:val="9"/>
    <w:unhideWhenUsed/>
    <w:qFormat/>
    <w:pPr>
      <w:keepLines/>
      <w:keepNext/>
      <w:spacing w:before="360" w:after="200"/>
      <w:outlineLvl w:val="1"/>
    </w:pPr>
    <w:rPr>
      <w:rFonts w:ascii="Arial" w:hAnsi="Arial" w:eastAsia="Arial" w:cs="Arial"/>
      <w:sz w:val="34"/>
    </w:rPr>
  </w:style>
  <w:style w:type="character" w:styleId="968">
    <w:name w:val="Heading 2 Char"/>
    <w:link w:val="967"/>
    <w:uiPriority w:val="9"/>
    <w:rPr>
      <w:rFonts w:ascii="Arial" w:hAnsi="Arial" w:eastAsia="Arial" w:cs="Arial"/>
      <w:sz w:val="34"/>
    </w:rPr>
  </w:style>
  <w:style w:type="paragraph" w:styleId="969">
    <w:name w:val="Heading 3"/>
    <w:basedOn w:val="1140"/>
    <w:next w:val="1140"/>
    <w:link w:val="970"/>
    <w:uiPriority w:val="9"/>
    <w:unhideWhenUsed/>
    <w:qFormat/>
    <w:pPr>
      <w:keepLines/>
      <w:keepNext/>
      <w:spacing w:before="320" w:after="200"/>
      <w:outlineLvl w:val="2"/>
    </w:pPr>
    <w:rPr>
      <w:rFonts w:ascii="Arial" w:hAnsi="Arial" w:eastAsia="Arial" w:cs="Arial"/>
      <w:sz w:val="30"/>
      <w:szCs w:val="30"/>
    </w:rPr>
  </w:style>
  <w:style w:type="character" w:styleId="970">
    <w:name w:val="Heading 3 Char"/>
    <w:link w:val="969"/>
    <w:uiPriority w:val="9"/>
    <w:rPr>
      <w:rFonts w:ascii="Arial" w:hAnsi="Arial" w:eastAsia="Arial" w:cs="Arial"/>
      <w:sz w:val="30"/>
      <w:szCs w:val="30"/>
    </w:rPr>
  </w:style>
  <w:style w:type="character" w:styleId="971">
    <w:name w:val="Heading 4 Char"/>
    <w:link w:val="1227"/>
    <w:uiPriority w:val="9"/>
    <w:rPr>
      <w:rFonts w:ascii="Arial" w:hAnsi="Arial" w:eastAsia="Arial" w:cs="Arial"/>
      <w:b/>
      <w:bCs/>
      <w:sz w:val="26"/>
      <w:szCs w:val="26"/>
    </w:rPr>
  </w:style>
  <w:style w:type="paragraph" w:styleId="972">
    <w:name w:val="Heading 5"/>
    <w:basedOn w:val="1140"/>
    <w:next w:val="1140"/>
    <w:link w:val="973"/>
    <w:uiPriority w:val="9"/>
    <w:unhideWhenUsed/>
    <w:qFormat/>
    <w:pPr>
      <w:keepLines/>
      <w:keepNext/>
      <w:spacing w:before="320" w:after="200"/>
      <w:outlineLvl w:val="4"/>
    </w:pPr>
    <w:rPr>
      <w:rFonts w:ascii="Arial" w:hAnsi="Arial" w:eastAsia="Arial" w:cs="Arial"/>
      <w:b/>
      <w:bCs/>
      <w:sz w:val="24"/>
      <w:szCs w:val="24"/>
    </w:rPr>
  </w:style>
  <w:style w:type="character" w:styleId="973">
    <w:name w:val="Heading 5 Char"/>
    <w:link w:val="972"/>
    <w:uiPriority w:val="9"/>
    <w:rPr>
      <w:rFonts w:ascii="Arial" w:hAnsi="Arial" w:eastAsia="Arial" w:cs="Arial"/>
      <w:b/>
      <w:bCs/>
      <w:sz w:val="24"/>
      <w:szCs w:val="24"/>
    </w:rPr>
  </w:style>
  <w:style w:type="paragraph" w:styleId="974">
    <w:name w:val="Heading 6"/>
    <w:basedOn w:val="1140"/>
    <w:next w:val="1140"/>
    <w:link w:val="975"/>
    <w:uiPriority w:val="9"/>
    <w:unhideWhenUsed/>
    <w:qFormat/>
    <w:pPr>
      <w:keepLines/>
      <w:keepNext/>
      <w:spacing w:before="320" w:after="200"/>
      <w:outlineLvl w:val="5"/>
    </w:pPr>
    <w:rPr>
      <w:rFonts w:ascii="Arial" w:hAnsi="Arial" w:eastAsia="Arial" w:cs="Arial"/>
      <w:b/>
      <w:bCs/>
      <w:sz w:val="22"/>
      <w:szCs w:val="22"/>
    </w:rPr>
  </w:style>
  <w:style w:type="character" w:styleId="975">
    <w:name w:val="Heading 6 Char"/>
    <w:link w:val="974"/>
    <w:uiPriority w:val="9"/>
    <w:rPr>
      <w:rFonts w:ascii="Arial" w:hAnsi="Arial" w:eastAsia="Arial" w:cs="Arial"/>
      <w:b/>
      <w:bCs/>
      <w:sz w:val="22"/>
      <w:szCs w:val="22"/>
    </w:rPr>
  </w:style>
  <w:style w:type="paragraph" w:styleId="976">
    <w:name w:val="Heading 7"/>
    <w:basedOn w:val="1140"/>
    <w:next w:val="1140"/>
    <w:link w:val="977"/>
    <w:uiPriority w:val="9"/>
    <w:unhideWhenUsed/>
    <w:qFormat/>
    <w:pPr>
      <w:keepLines/>
      <w:keepNext/>
      <w:spacing w:before="320" w:after="200"/>
      <w:outlineLvl w:val="6"/>
    </w:pPr>
    <w:rPr>
      <w:rFonts w:ascii="Arial" w:hAnsi="Arial" w:eastAsia="Arial" w:cs="Arial"/>
      <w:b/>
      <w:bCs/>
      <w:i/>
      <w:iCs/>
      <w:sz w:val="22"/>
      <w:szCs w:val="22"/>
    </w:rPr>
  </w:style>
  <w:style w:type="character" w:styleId="977">
    <w:name w:val="Heading 7 Char"/>
    <w:link w:val="976"/>
    <w:uiPriority w:val="9"/>
    <w:rPr>
      <w:rFonts w:ascii="Arial" w:hAnsi="Arial" w:eastAsia="Arial" w:cs="Arial"/>
      <w:b/>
      <w:bCs/>
      <w:i/>
      <w:iCs/>
      <w:sz w:val="22"/>
      <w:szCs w:val="22"/>
    </w:rPr>
  </w:style>
  <w:style w:type="character" w:styleId="978">
    <w:name w:val="Heading 8 Char"/>
    <w:link w:val="1223"/>
    <w:uiPriority w:val="9"/>
    <w:rPr>
      <w:rFonts w:ascii="Arial" w:hAnsi="Arial" w:eastAsia="Arial" w:cs="Arial"/>
      <w:i/>
      <w:iCs/>
      <w:sz w:val="22"/>
      <w:szCs w:val="22"/>
    </w:rPr>
  </w:style>
  <w:style w:type="paragraph" w:styleId="979">
    <w:name w:val="Heading 9"/>
    <w:basedOn w:val="1140"/>
    <w:next w:val="1140"/>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link w:val="979"/>
    <w:uiPriority w:val="9"/>
    <w:rPr>
      <w:rFonts w:ascii="Arial" w:hAnsi="Arial" w:eastAsia="Arial" w:cs="Arial"/>
      <w:i/>
      <w:iCs/>
      <w:sz w:val="21"/>
      <w:szCs w:val="21"/>
    </w:rPr>
  </w:style>
  <w:style w:type="paragraph" w:styleId="981">
    <w:name w:val="No Spacing"/>
    <w:uiPriority w:val="1"/>
    <w:qFormat/>
    <w:pPr>
      <w:spacing w:before="0" w:after="0" w:line="240" w:lineRule="auto"/>
    </w:pPr>
  </w:style>
  <w:style w:type="paragraph" w:styleId="982">
    <w:name w:val="Title"/>
    <w:basedOn w:val="1140"/>
    <w:next w:val="1140"/>
    <w:link w:val="983"/>
    <w:uiPriority w:val="10"/>
    <w:qFormat/>
    <w:pPr>
      <w:contextualSpacing/>
      <w:spacing w:before="300" w:after="200"/>
    </w:pPr>
    <w:rPr>
      <w:sz w:val="48"/>
      <w:szCs w:val="48"/>
    </w:rPr>
  </w:style>
  <w:style w:type="character" w:styleId="983">
    <w:name w:val="Title Char"/>
    <w:link w:val="982"/>
    <w:uiPriority w:val="10"/>
    <w:rPr>
      <w:sz w:val="48"/>
      <w:szCs w:val="48"/>
    </w:rPr>
  </w:style>
  <w:style w:type="paragraph" w:styleId="984">
    <w:name w:val="Subtitle"/>
    <w:basedOn w:val="1140"/>
    <w:next w:val="1140"/>
    <w:link w:val="985"/>
    <w:uiPriority w:val="11"/>
    <w:qFormat/>
    <w:pPr>
      <w:spacing w:before="200" w:after="200"/>
    </w:pPr>
    <w:rPr>
      <w:sz w:val="24"/>
      <w:szCs w:val="24"/>
    </w:rPr>
  </w:style>
  <w:style w:type="character" w:styleId="985">
    <w:name w:val="Subtitle Char"/>
    <w:link w:val="984"/>
    <w:uiPriority w:val="11"/>
    <w:rPr>
      <w:sz w:val="24"/>
      <w:szCs w:val="24"/>
    </w:rPr>
  </w:style>
  <w:style w:type="paragraph" w:styleId="986">
    <w:name w:val="Quote"/>
    <w:basedOn w:val="1140"/>
    <w:next w:val="1140"/>
    <w:link w:val="987"/>
    <w:uiPriority w:val="29"/>
    <w:qFormat/>
    <w:pPr>
      <w:ind w:left="720" w:right="720"/>
    </w:pPr>
    <w:rPr>
      <w:i/>
    </w:rPr>
  </w:style>
  <w:style w:type="character" w:styleId="987">
    <w:name w:val="Quote Char"/>
    <w:link w:val="986"/>
    <w:uiPriority w:val="29"/>
    <w:rPr>
      <w:i/>
    </w:rPr>
  </w:style>
  <w:style w:type="paragraph" w:styleId="988">
    <w:name w:val="Intense Quote"/>
    <w:basedOn w:val="1140"/>
    <w:next w:val="1140"/>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140"/>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140"/>
    <w:link w:val="995"/>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140"/>
    <w:next w:val="1140"/>
    <w:uiPriority w:val="35"/>
    <w:semiHidden/>
    <w:unhideWhenUsed/>
    <w:qFormat/>
    <w:pPr>
      <w:spacing w:line="276" w:lineRule="auto"/>
    </w:pPr>
    <w:rPr>
      <w:b/>
      <w:bCs/>
      <w:color w:val="4f81bd" w:themeColor="accent1"/>
      <w:sz w:val="18"/>
      <w:szCs w:val="18"/>
    </w:rPr>
  </w:style>
  <w:style w:type="character" w:styleId="995">
    <w:name w:val="Caption Char"/>
    <w:basedOn w:val="994"/>
    <w:link w:val="992"/>
    <w:uiPriority w:val="99"/>
  </w:style>
  <w:style w:type="table" w:styleId="9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2">
    <w:name w:val="Hyperlink"/>
    <w:uiPriority w:val="99"/>
    <w:unhideWhenUsed/>
    <w:rPr>
      <w:color w:val="0000ff" w:themeColor="hyperlink"/>
      <w:u w:val="single"/>
    </w:rPr>
  </w:style>
  <w:style w:type="paragraph" w:styleId="1123">
    <w:name w:val="footnote text"/>
    <w:basedOn w:val="1140"/>
    <w:link w:val="1124"/>
    <w:uiPriority w:val="99"/>
    <w:semiHidden/>
    <w:unhideWhenUsed/>
    <w:pPr>
      <w:spacing w:after="40" w:line="240" w:lineRule="auto"/>
    </w:pPr>
    <w:rPr>
      <w:sz w:val="18"/>
    </w:rPr>
  </w:style>
  <w:style w:type="character" w:styleId="1124">
    <w:name w:val="Footnote Text Char"/>
    <w:link w:val="1123"/>
    <w:uiPriority w:val="99"/>
    <w:rPr>
      <w:sz w:val="18"/>
    </w:rPr>
  </w:style>
  <w:style w:type="character" w:styleId="1125">
    <w:name w:val="footnote reference"/>
    <w:uiPriority w:val="99"/>
    <w:unhideWhenUsed/>
    <w:rPr>
      <w:vertAlign w:val="superscript"/>
    </w:rPr>
  </w:style>
  <w:style w:type="paragraph" w:styleId="1126">
    <w:name w:val="endnote text"/>
    <w:basedOn w:val="1140"/>
    <w:link w:val="1127"/>
    <w:uiPriority w:val="99"/>
    <w:semiHidden/>
    <w:unhideWhenUsed/>
    <w:pPr>
      <w:spacing w:after="0" w:line="240" w:lineRule="auto"/>
    </w:pPr>
    <w:rPr>
      <w:sz w:val="20"/>
    </w:rPr>
  </w:style>
  <w:style w:type="character" w:styleId="1127">
    <w:name w:val="Endnote Text Char"/>
    <w:link w:val="1126"/>
    <w:uiPriority w:val="99"/>
    <w:rPr>
      <w:sz w:val="20"/>
    </w:rPr>
  </w:style>
  <w:style w:type="character" w:styleId="1128">
    <w:name w:val="endnote reference"/>
    <w:uiPriority w:val="99"/>
    <w:semiHidden/>
    <w:unhideWhenUsed/>
    <w:rPr>
      <w:vertAlign w:val="superscript"/>
    </w:rPr>
  </w:style>
  <w:style w:type="paragraph" w:styleId="1129">
    <w:name w:val="toc 1"/>
    <w:basedOn w:val="1140"/>
    <w:next w:val="1140"/>
    <w:uiPriority w:val="39"/>
    <w:unhideWhenUsed/>
    <w:pPr>
      <w:ind w:left="0" w:right="0" w:firstLine="0"/>
      <w:spacing w:after="57"/>
    </w:pPr>
  </w:style>
  <w:style w:type="paragraph" w:styleId="1130">
    <w:name w:val="toc 2"/>
    <w:basedOn w:val="1140"/>
    <w:next w:val="1140"/>
    <w:uiPriority w:val="39"/>
    <w:unhideWhenUsed/>
    <w:pPr>
      <w:ind w:left="283" w:right="0" w:firstLine="0"/>
      <w:spacing w:after="57"/>
    </w:pPr>
  </w:style>
  <w:style w:type="paragraph" w:styleId="1131">
    <w:name w:val="toc 3"/>
    <w:basedOn w:val="1140"/>
    <w:next w:val="1140"/>
    <w:uiPriority w:val="39"/>
    <w:unhideWhenUsed/>
    <w:pPr>
      <w:ind w:left="567" w:right="0" w:firstLine="0"/>
      <w:spacing w:after="57"/>
    </w:pPr>
  </w:style>
  <w:style w:type="paragraph" w:styleId="1132">
    <w:name w:val="toc 4"/>
    <w:basedOn w:val="1140"/>
    <w:next w:val="1140"/>
    <w:uiPriority w:val="39"/>
    <w:unhideWhenUsed/>
    <w:pPr>
      <w:ind w:left="850" w:right="0" w:firstLine="0"/>
      <w:spacing w:after="57"/>
    </w:pPr>
  </w:style>
  <w:style w:type="paragraph" w:styleId="1133">
    <w:name w:val="toc 5"/>
    <w:basedOn w:val="1140"/>
    <w:next w:val="1140"/>
    <w:uiPriority w:val="39"/>
    <w:unhideWhenUsed/>
    <w:pPr>
      <w:ind w:left="1134" w:right="0" w:firstLine="0"/>
      <w:spacing w:after="57"/>
    </w:pPr>
  </w:style>
  <w:style w:type="paragraph" w:styleId="1134">
    <w:name w:val="toc 6"/>
    <w:basedOn w:val="1140"/>
    <w:next w:val="1140"/>
    <w:uiPriority w:val="39"/>
    <w:unhideWhenUsed/>
    <w:pPr>
      <w:ind w:left="1417" w:right="0" w:firstLine="0"/>
      <w:spacing w:after="57"/>
    </w:pPr>
  </w:style>
  <w:style w:type="paragraph" w:styleId="1135">
    <w:name w:val="toc 7"/>
    <w:basedOn w:val="1140"/>
    <w:next w:val="1140"/>
    <w:uiPriority w:val="39"/>
    <w:unhideWhenUsed/>
    <w:pPr>
      <w:ind w:left="1701" w:right="0" w:firstLine="0"/>
      <w:spacing w:after="57"/>
    </w:pPr>
  </w:style>
  <w:style w:type="paragraph" w:styleId="1136">
    <w:name w:val="toc 8"/>
    <w:basedOn w:val="1140"/>
    <w:next w:val="1140"/>
    <w:uiPriority w:val="39"/>
    <w:unhideWhenUsed/>
    <w:pPr>
      <w:ind w:left="1984" w:right="0" w:firstLine="0"/>
      <w:spacing w:after="57"/>
    </w:pPr>
  </w:style>
  <w:style w:type="paragraph" w:styleId="1137">
    <w:name w:val="toc 9"/>
    <w:basedOn w:val="1140"/>
    <w:next w:val="1140"/>
    <w:uiPriority w:val="39"/>
    <w:unhideWhenUsed/>
    <w:pPr>
      <w:ind w:left="2268" w:right="0" w:firstLine="0"/>
      <w:spacing w:after="57"/>
    </w:pPr>
  </w:style>
  <w:style w:type="paragraph" w:styleId="1138">
    <w:name w:val="TOC Heading"/>
    <w:uiPriority w:val="39"/>
    <w:unhideWhenUsed/>
  </w:style>
  <w:style w:type="paragraph" w:styleId="1139">
    <w:name w:val="table of figures"/>
    <w:basedOn w:val="1140"/>
    <w:next w:val="1140"/>
    <w:uiPriority w:val="99"/>
    <w:unhideWhenUsed/>
    <w:pPr>
      <w:spacing w:after="0" w:afterAutospacing="0"/>
    </w:pPr>
  </w:style>
  <w:style w:type="paragraph" w:styleId="1140" w:default="1">
    <w:name w:val="Normal"/>
    <w:next w:val="1140"/>
    <w:link w:val="1140"/>
    <w:qFormat/>
    <w:pPr>
      <w:jc w:val="both"/>
      <w:widowControl w:val="off"/>
    </w:pPr>
    <w:rPr>
      <w:sz w:val="21"/>
      <w:lang w:val="en-US" w:eastAsia="zh-CN" w:bidi="ar-SA"/>
    </w:rPr>
  </w:style>
  <w:style w:type="paragraph" w:styleId="1141">
    <w:name w:val="标题 1"/>
    <w:basedOn w:val="1140"/>
    <w:next w:val="1140"/>
    <w:link w:val="1140"/>
    <w:qFormat/>
    <w:pPr>
      <w:jc w:val="center"/>
      <w:keepNext/>
      <w:spacing w:line="440" w:lineRule="exact"/>
      <w:outlineLvl w:val="0"/>
    </w:pPr>
    <w:rPr>
      <w:rFonts w:ascii="宋体"/>
      <w:sz w:val="28"/>
    </w:rPr>
  </w:style>
  <w:style w:type="paragraph" w:styleId="1142">
    <w:name w:val="标题 2"/>
    <w:basedOn w:val="1140"/>
    <w:next w:val="1140"/>
    <w:link w:val="1147"/>
    <w:uiPriority w:val="9"/>
    <w:qFormat/>
    <w:pPr>
      <w:keepLines/>
      <w:keepNext/>
      <w:spacing w:before="260" w:after="260" w:line="416" w:lineRule="auto"/>
      <w:outlineLvl w:val="1"/>
    </w:pPr>
    <w:rPr>
      <w:rFonts w:ascii="Arial" w:hAnsi="Arial" w:eastAsia="黑体"/>
      <w:b/>
      <w:bCs/>
      <w:sz w:val="32"/>
      <w:szCs w:val="32"/>
    </w:rPr>
  </w:style>
  <w:style w:type="paragraph" w:styleId="1143">
    <w:name w:val="标题 3"/>
    <w:basedOn w:val="1140"/>
    <w:next w:val="1140"/>
    <w:link w:val="114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44">
    <w:name w:val="标题 4"/>
    <w:basedOn w:val="1140"/>
    <w:next w:val="1149"/>
    <w:link w:val="1140"/>
    <w:qFormat/>
    <w:pPr>
      <w:keepLines/>
      <w:keepNext/>
      <w:spacing w:before="280" w:after="290" w:line="372" w:lineRule="auto"/>
      <w:outlineLvl w:val="3"/>
    </w:pPr>
    <w:rPr>
      <w:rFonts w:ascii="Arial" w:hAnsi="Arial" w:eastAsia="黑体" w:cs="Arial"/>
      <w:b/>
      <w:bCs/>
      <w:sz w:val="28"/>
      <w:szCs w:val="28"/>
    </w:rPr>
  </w:style>
  <w:style w:type="character" w:styleId="1145">
    <w:name w:val="默认段落字体"/>
    <w:next w:val="1145"/>
    <w:link w:val="1140"/>
    <w:semiHidden/>
  </w:style>
  <w:style w:type="table" w:styleId="1146">
    <w:name w:val="普通表格"/>
    <w:next w:val="1146"/>
    <w:link w:val="114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47">
    <w:name w:val="标题 2 Char"/>
    <w:next w:val="1147"/>
    <w:link w:val="1142"/>
    <w:uiPriority w:val="9"/>
    <w:qFormat/>
    <w:rPr>
      <w:rFonts w:ascii="Arial" w:hAnsi="Arial" w:eastAsia="黑体"/>
      <w:b/>
      <w:bCs/>
      <w:sz w:val="32"/>
      <w:szCs w:val="32"/>
    </w:rPr>
  </w:style>
  <w:style w:type="character" w:styleId="1148">
    <w:name w:val="标题 3 Char"/>
    <w:next w:val="1148"/>
    <w:link w:val="1143"/>
    <w:uiPriority w:val="9"/>
    <w:qFormat/>
    <w:rPr>
      <w:rFonts w:ascii="仿宋_GB2312" w:eastAsia="仿宋_GB2312"/>
      <w:sz w:val="32"/>
    </w:rPr>
  </w:style>
  <w:style w:type="paragraph" w:styleId="1149">
    <w:name w:val="正文缩进"/>
    <w:basedOn w:val="1140"/>
    <w:next w:val="1140"/>
    <w:link w:val="1140"/>
    <w:uiPriority w:val="99"/>
    <w:pPr>
      <w:ind w:firstLine="420"/>
    </w:pPr>
    <w:rPr>
      <w:b/>
      <w:sz w:val="24"/>
    </w:rPr>
  </w:style>
  <w:style w:type="paragraph" w:styleId="1150">
    <w:name w:val="列表 3"/>
    <w:basedOn w:val="1140"/>
    <w:next w:val="1150"/>
    <w:link w:val="1140"/>
    <w:pPr>
      <w:contextualSpacing/>
      <w:ind w:left="100" w:hanging="200"/>
    </w:pPr>
  </w:style>
  <w:style w:type="paragraph" w:styleId="1151">
    <w:name w:val="目录 7"/>
    <w:basedOn w:val="1140"/>
    <w:next w:val="1140"/>
    <w:link w:val="1140"/>
    <w:pPr>
      <w:ind w:left="2520"/>
    </w:pPr>
  </w:style>
  <w:style w:type="paragraph" w:styleId="1152">
    <w:name w:val="文档结构图"/>
    <w:basedOn w:val="1140"/>
    <w:next w:val="1152"/>
    <w:link w:val="1153"/>
    <w:rPr>
      <w:rFonts w:ascii="宋体"/>
      <w:sz w:val="18"/>
      <w:szCs w:val="18"/>
    </w:rPr>
  </w:style>
  <w:style w:type="character" w:styleId="1153">
    <w:name w:val="文档结构图 Char"/>
    <w:next w:val="1153"/>
    <w:link w:val="1152"/>
    <w:rPr>
      <w:rFonts w:ascii="宋体" w:eastAsia="宋体"/>
      <w:sz w:val="18"/>
      <w:szCs w:val="18"/>
    </w:rPr>
  </w:style>
  <w:style w:type="paragraph" w:styleId="1154">
    <w:name w:val="批注文字"/>
    <w:basedOn w:val="1140"/>
    <w:next w:val="1154"/>
    <w:link w:val="1155"/>
    <w:qFormat/>
    <w:pPr>
      <w:jc w:val="left"/>
    </w:pPr>
  </w:style>
  <w:style w:type="character" w:styleId="1155">
    <w:name w:val="批注文字 Char"/>
    <w:next w:val="1155"/>
    <w:link w:val="1154"/>
    <w:qFormat/>
    <w:rPr>
      <w:sz w:val="21"/>
    </w:rPr>
  </w:style>
  <w:style w:type="paragraph" w:styleId="1156">
    <w:name w:val="正文文本"/>
    <w:basedOn w:val="1140"/>
    <w:next w:val="1156"/>
    <w:link w:val="1157"/>
    <w:rPr>
      <w:rFonts w:ascii="宋体"/>
      <w:sz w:val="28"/>
    </w:rPr>
  </w:style>
  <w:style w:type="character" w:styleId="1157">
    <w:name w:val="正文文本 Char"/>
    <w:next w:val="1157"/>
    <w:link w:val="1156"/>
    <w:rPr>
      <w:rFonts w:ascii="宋体" w:eastAsia="宋体"/>
      <w:sz w:val="28"/>
      <w:lang w:val="en-US" w:eastAsia="zh-CN" w:bidi="ar-SA"/>
    </w:rPr>
  </w:style>
  <w:style w:type="paragraph" w:styleId="1158">
    <w:name w:val="正文文本缩进"/>
    <w:basedOn w:val="1140"/>
    <w:next w:val="1158"/>
    <w:link w:val="1140"/>
    <w:pPr>
      <w:ind w:firstLine="420"/>
      <w:spacing w:line="360" w:lineRule="auto"/>
    </w:pPr>
    <w:rPr>
      <w:rFonts w:ascii="宋体"/>
      <w:sz w:val="24"/>
    </w:rPr>
  </w:style>
  <w:style w:type="paragraph" w:styleId="1159">
    <w:name w:val="列表 2"/>
    <w:basedOn w:val="1140"/>
    <w:next w:val="1159"/>
    <w:link w:val="1140"/>
    <w:pPr>
      <w:ind w:left="100" w:hanging="200"/>
    </w:pPr>
  </w:style>
  <w:style w:type="paragraph" w:styleId="1160">
    <w:name w:val="索引 4"/>
    <w:basedOn w:val="1140"/>
    <w:next w:val="1140"/>
    <w:link w:val="1140"/>
    <w:uiPriority w:val="99"/>
    <w:unhideWhenUsed/>
    <w:pPr>
      <w:ind w:left="600"/>
    </w:pPr>
    <w:rPr>
      <w:rFonts w:ascii="Verdana" w:hAnsi="Verdana"/>
      <w:szCs w:val="20"/>
    </w:rPr>
  </w:style>
  <w:style w:type="paragraph" w:styleId="1161">
    <w:name w:val="目录 5"/>
    <w:basedOn w:val="1140"/>
    <w:next w:val="1140"/>
    <w:link w:val="1140"/>
    <w:pPr>
      <w:ind w:left="1680"/>
    </w:pPr>
  </w:style>
  <w:style w:type="paragraph" w:styleId="1162">
    <w:name w:val="目录 3"/>
    <w:basedOn w:val="1140"/>
    <w:next w:val="1140"/>
    <w:link w:val="1140"/>
    <w:uiPriority w:val="39"/>
    <w:pPr>
      <w:ind w:left="840"/>
    </w:pPr>
  </w:style>
  <w:style w:type="paragraph" w:styleId="1163">
    <w:name w:val="纯文本"/>
    <w:basedOn w:val="1140"/>
    <w:next w:val="1163"/>
    <w:link w:val="1164"/>
    <w:rPr>
      <w:rFonts w:ascii="宋体" w:hAnsi="Courier New"/>
    </w:rPr>
  </w:style>
  <w:style w:type="character" w:styleId="1164">
    <w:name w:val="纯文本 Char"/>
    <w:next w:val="1164"/>
    <w:link w:val="1163"/>
    <w:rPr>
      <w:rFonts w:ascii="宋体" w:hAnsi="Courier New" w:eastAsia="宋体"/>
      <w:sz w:val="21"/>
      <w:lang w:val="en-US" w:eastAsia="zh-CN" w:bidi="ar-SA"/>
    </w:rPr>
  </w:style>
  <w:style w:type="paragraph" w:styleId="1165">
    <w:name w:val="目录 8"/>
    <w:basedOn w:val="1140"/>
    <w:next w:val="1140"/>
    <w:link w:val="1140"/>
    <w:pPr>
      <w:ind w:left="2940"/>
    </w:pPr>
  </w:style>
  <w:style w:type="paragraph" w:styleId="1166">
    <w:name w:val="日期"/>
    <w:basedOn w:val="1140"/>
    <w:next w:val="1140"/>
    <w:link w:val="1167"/>
    <w:rPr>
      <w:rFonts w:ascii="宋体"/>
    </w:rPr>
  </w:style>
  <w:style w:type="character" w:styleId="1167">
    <w:name w:val="日期 Char"/>
    <w:next w:val="1167"/>
    <w:link w:val="1166"/>
    <w:rPr>
      <w:rFonts w:ascii="宋体"/>
      <w:sz w:val="21"/>
    </w:rPr>
  </w:style>
  <w:style w:type="paragraph" w:styleId="1168">
    <w:name w:val="正文文本缩进 2"/>
    <w:basedOn w:val="1140"/>
    <w:next w:val="1168"/>
    <w:link w:val="1140"/>
    <w:pPr>
      <w:ind w:firstLine="525"/>
      <w:spacing w:line="420" w:lineRule="exact"/>
    </w:pPr>
    <w:rPr>
      <w:rFonts w:ascii="宋体"/>
    </w:rPr>
  </w:style>
  <w:style w:type="paragraph" w:styleId="1169">
    <w:name w:val="批注框文本"/>
    <w:basedOn w:val="1140"/>
    <w:next w:val="1169"/>
    <w:link w:val="1170"/>
    <w:uiPriority w:val="99"/>
    <w:qFormat/>
    <w:rPr>
      <w:sz w:val="18"/>
      <w:szCs w:val="18"/>
    </w:rPr>
  </w:style>
  <w:style w:type="character" w:styleId="1170">
    <w:name w:val="批注框文本 Char"/>
    <w:next w:val="1170"/>
    <w:link w:val="1169"/>
    <w:uiPriority w:val="99"/>
    <w:qFormat/>
    <w:rPr>
      <w:sz w:val="18"/>
      <w:szCs w:val="18"/>
    </w:rPr>
  </w:style>
  <w:style w:type="paragraph" w:styleId="1171">
    <w:name w:val="页脚"/>
    <w:basedOn w:val="1140"/>
    <w:next w:val="1171"/>
    <w:link w:val="1172"/>
    <w:uiPriority w:val="99"/>
    <w:qFormat/>
    <w:pPr>
      <w:jc w:val="left"/>
      <w:tabs>
        <w:tab w:val="center" w:pos="4153" w:leader="none"/>
        <w:tab w:val="right" w:pos="8306" w:leader="none"/>
      </w:tabs>
    </w:pPr>
    <w:rPr>
      <w:sz w:val="18"/>
    </w:rPr>
  </w:style>
  <w:style w:type="character" w:styleId="1172">
    <w:name w:val="页脚 Char"/>
    <w:next w:val="1172"/>
    <w:link w:val="1171"/>
    <w:uiPriority w:val="99"/>
    <w:rPr>
      <w:sz w:val="18"/>
    </w:rPr>
  </w:style>
  <w:style w:type="paragraph" w:styleId="1173">
    <w:name w:val="页眉"/>
    <w:basedOn w:val="1140"/>
    <w:next w:val="1173"/>
    <w:link w:val="1174"/>
    <w:uiPriority w:val="99"/>
    <w:qFormat/>
    <w:pPr>
      <w:jc w:val="center"/>
      <w:tabs>
        <w:tab w:val="center" w:pos="4153" w:leader="none"/>
        <w:tab w:val="right" w:pos="8306" w:leader="none"/>
      </w:tabs>
      <w:pBdr>
        <w:bottom w:val="single" w:color="000000" w:sz="6" w:space="1"/>
      </w:pBdr>
    </w:pPr>
    <w:rPr>
      <w:sz w:val="18"/>
    </w:rPr>
  </w:style>
  <w:style w:type="character" w:styleId="1174">
    <w:name w:val="页眉 Char"/>
    <w:next w:val="1174"/>
    <w:link w:val="1173"/>
    <w:uiPriority w:val="99"/>
    <w:rPr>
      <w:sz w:val="18"/>
    </w:rPr>
  </w:style>
  <w:style w:type="paragraph" w:styleId="1175">
    <w:name w:val="目录 1"/>
    <w:basedOn w:val="1140"/>
    <w:next w:val="1140"/>
    <w:link w:val="1140"/>
    <w:uiPriority w:val="39"/>
  </w:style>
  <w:style w:type="paragraph" w:styleId="1176">
    <w:name w:val="目录 4"/>
    <w:basedOn w:val="1140"/>
    <w:next w:val="1140"/>
    <w:link w:val="1140"/>
    <w:pPr>
      <w:ind w:left="1260"/>
    </w:pPr>
  </w:style>
  <w:style w:type="paragraph" w:styleId="1177">
    <w:name w:val="目录 6"/>
    <w:basedOn w:val="1140"/>
    <w:next w:val="1140"/>
    <w:link w:val="1140"/>
    <w:pPr>
      <w:ind w:left="2100"/>
    </w:pPr>
  </w:style>
  <w:style w:type="paragraph" w:styleId="1178">
    <w:name w:val="正文文本缩进 3"/>
    <w:basedOn w:val="1140"/>
    <w:next w:val="1178"/>
    <w:link w:val="1140"/>
    <w:pPr>
      <w:ind w:firstLine="841"/>
    </w:pPr>
    <w:rPr>
      <w:rFonts w:eastAsia="华文新魏"/>
      <w:b/>
      <w:bCs/>
      <w:sz w:val="84"/>
    </w:rPr>
  </w:style>
  <w:style w:type="paragraph" w:styleId="1179">
    <w:name w:val="目录 2"/>
    <w:basedOn w:val="1140"/>
    <w:next w:val="1140"/>
    <w:link w:val="1140"/>
    <w:uiPriority w:val="39"/>
    <w:pPr>
      <w:ind w:left="420"/>
    </w:pPr>
  </w:style>
  <w:style w:type="paragraph" w:styleId="1180">
    <w:name w:val="目录 9"/>
    <w:basedOn w:val="1140"/>
    <w:next w:val="1140"/>
    <w:link w:val="1140"/>
    <w:pPr>
      <w:ind w:left="3360"/>
    </w:pPr>
  </w:style>
  <w:style w:type="paragraph" w:styleId="1181">
    <w:name w:val="HTML 预设格式"/>
    <w:basedOn w:val="1140"/>
    <w:next w:val="1181"/>
    <w:link w:val="11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82">
    <w:name w:val="普通(网站)"/>
    <w:basedOn w:val="1140"/>
    <w:next w:val="1182"/>
    <w:link w:val="114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83">
    <w:name w:val="标题"/>
    <w:basedOn w:val="1140"/>
    <w:next w:val="1183"/>
    <w:link w:val="1184"/>
    <w:qFormat/>
    <w:pPr>
      <w:jc w:val="center"/>
    </w:pPr>
    <w:rPr>
      <w:sz w:val="30"/>
      <w:szCs w:val="24"/>
    </w:rPr>
  </w:style>
  <w:style w:type="character" w:styleId="1184">
    <w:name w:val="标题 Char"/>
    <w:next w:val="1184"/>
    <w:link w:val="1183"/>
    <w:rPr>
      <w:sz w:val="30"/>
      <w:szCs w:val="24"/>
    </w:rPr>
  </w:style>
  <w:style w:type="paragraph" w:styleId="1185">
    <w:name w:val="批注主题"/>
    <w:basedOn w:val="1154"/>
    <w:next w:val="1154"/>
    <w:link w:val="1186"/>
    <w:rPr>
      <w:b/>
      <w:bCs/>
    </w:rPr>
  </w:style>
  <w:style w:type="character" w:styleId="1186">
    <w:name w:val="批注主题 Char"/>
    <w:next w:val="1186"/>
    <w:link w:val="1185"/>
    <w:rPr>
      <w:b/>
      <w:bCs/>
      <w:sz w:val="21"/>
    </w:rPr>
  </w:style>
  <w:style w:type="paragraph" w:styleId="1187">
    <w:name w:val="正文首行缩进"/>
    <w:basedOn w:val="1156"/>
    <w:next w:val="1187"/>
    <w:link w:val="1140"/>
    <w:pPr>
      <w:ind w:firstLine="420"/>
    </w:pPr>
  </w:style>
  <w:style w:type="table" w:styleId="1188">
    <w:name w:val="网格型"/>
    <w:basedOn w:val="1146"/>
    <w:next w:val="1188"/>
    <w:link w:val="1140"/>
    <w:uiPriority w:val="59"/>
    <w:qFormat/>
    <w:tblPr/>
  </w:style>
  <w:style w:type="character" w:styleId="1189">
    <w:name w:val="要点"/>
    <w:next w:val="1189"/>
    <w:link w:val="1140"/>
    <w:qFormat/>
    <w:rPr>
      <w:b/>
      <w:bCs/>
    </w:rPr>
  </w:style>
  <w:style w:type="character" w:styleId="1190">
    <w:name w:val="页码"/>
    <w:next w:val="1190"/>
    <w:link w:val="1140"/>
    <w:uiPriority w:val="99"/>
  </w:style>
  <w:style w:type="character" w:styleId="1191">
    <w:name w:val="已访问的超链接"/>
    <w:next w:val="1191"/>
    <w:link w:val="1140"/>
    <w:rPr>
      <w:color w:val="000000"/>
      <w:sz w:val="18"/>
      <w:szCs w:val="18"/>
      <w:u w:val="none"/>
    </w:rPr>
  </w:style>
  <w:style w:type="character" w:styleId="1192">
    <w:name w:val="强调"/>
    <w:next w:val="1192"/>
    <w:link w:val="1140"/>
    <w:qFormat/>
    <w:rPr>
      <w:i/>
    </w:rPr>
  </w:style>
  <w:style w:type="character" w:styleId="1193">
    <w:name w:val="超链接"/>
    <w:next w:val="1193"/>
    <w:link w:val="1140"/>
    <w:uiPriority w:val="99"/>
    <w:rPr>
      <w:color w:val="000000"/>
      <w:sz w:val="18"/>
      <w:szCs w:val="18"/>
      <w:u w:val="none"/>
    </w:rPr>
  </w:style>
  <w:style w:type="character" w:styleId="1194">
    <w:name w:val="批注引用"/>
    <w:next w:val="1194"/>
    <w:link w:val="1140"/>
    <w:rPr>
      <w:sz w:val="21"/>
      <w:szCs w:val="21"/>
    </w:rPr>
  </w:style>
  <w:style w:type="paragraph" w:styleId="1195">
    <w:name w:val="正文文本1"/>
    <w:basedOn w:val="1140"/>
    <w:next w:val="1140"/>
    <w:link w:val="1140"/>
    <w:rPr>
      <w:rFonts w:ascii="仿宋_GB2312" w:hAnsi="Times New Roman" w:eastAsia="仿宋_GB2312" w:cs="Times New Roman"/>
      <w:sz w:val="24"/>
      <w:szCs w:val="20"/>
    </w:rPr>
  </w:style>
  <w:style w:type="paragraph" w:styleId="1196">
    <w:name w:val="首行缩进"/>
    <w:basedOn w:val="1140"/>
    <w:next w:val="1196"/>
    <w:link w:val="1140"/>
    <w:qFormat/>
    <w:pPr>
      <w:ind w:firstLine="420"/>
      <w:spacing w:line="360" w:lineRule="auto"/>
    </w:pPr>
  </w:style>
  <w:style w:type="character" w:styleId="1197">
    <w:name w:val="页脚 字符"/>
    <w:next w:val="1197"/>
    <w:link w:val="1140"/>
    <w:uiPriority w:val="99"/>
  </w:style>
  <w:style w:type="character" w:styleId="1198">
    <w:name w:val="font31"/>
    <w:next w:val="1198"/>
    <w:link w:val="1140"/>
    <w:uiPriority w:val="99"/>
    <w:rPr>
      <w:rFonts w:hint="eastAsia" w:ascii="宋体" w:hAnsi="宋体" w:eastAsia="宋体" w:cs="宋体"/>
      <w:i w:val="0"/>
      <w:color w:val="000000"/>
      <w:sz w:val="20"/>
      <w:szCs w:val="20"/>
      <w:u w:val="none"/>
    </w:rPr>
  </w:style>
  <w:style w:type="character" w:styleId="1199">
    <w:name w:val="Table Sub Section Char"/>
    <w:next w:val="1199"/>
    <w:link w:val="1200"/>
    <w:qFormat/>
    <w:rPr>
      <w:rFonts w:ascii="Arial" w:hAnsi="Arial"/>
      <w:b/>
      <w:color w:val="0f0f0f"/>
      <w:lang w:eastAsia="en-US"/>
    </w:rPr>
  </w:style>
  <w:style w:type="paragraph" w:styleId="1200">
    <w:name w:val="Table Sub Section"/>
    <w:basedOn w:val="1140"/>
    <w:next w:val="1200"/>
    <w:link w:val="1199"/>
    <w:qFormat/>
    <w:pPr>
      <w:jc w:val="left"/>
      <w:keepNext/>
      <w:spacing w:before="160" w:after="160" w:line="276" w:lineRule="auto"/>
      <w:widowControl/>
    </w:pPr>
    <w:rPr>
      <w:rFonts w:ascii="Arial" w:hAnsi="Arial"/>
      <w:b/>
      <w:color w:val="0f0f0f"/>
      <w:sz w:val="20"/>
      <w:lang w:eastAsia="en-US"/>
    </w:rPr>
  </w:style>
  <w:style w:type="character" w:styleId="1201">
    <w:name w:val="apple-style-span"/>
    <w:next w:val="1201"/>
    <w:link w:val="1140"/>
  </w:style>
  <w:style w:type="character" w:styleId="1202">
    <w:name w:val="c lh15"/>
    <w:next w:val="1202"/>
    <w:link w:val="1140"/>
  </w:style>
  <w:style w:type="character" w:styleId="1203">
    <w:name w:val="标准文本 Char"/>
    <w:next w:val="1203"/>
    <w:link w:val="1204"/>
    <w:rPr>
      <w:rFonts w:ascii="宋体" w:hAnsi="宋体" w:eastAsia="宋体" w:cs="宋体"/>
      <w:sz w:val="21"/>
      <w:szCs w:val="21"/>
      <w:lang w:val="en-US" w:eastAsia="zh-CN" w:bidi="ar-SA"/>
    </w:rPr>
  </w:style>
  <w:style w:type="paragraph" w:styleId="1204">
    <w:name w:val="标准文本"/>
    <w:basedOn w:val="1140"/>
    <w:next w:val="1204"/>
    <w:link w:val="1203"/>
    <w:pPr>
      <w:ind w:firstLine="420"/>
      <w:spacing w:line="300" w:lineRule="auto"/>
    </w:pPr>
    <w:rPr>
      <w:rFonts w:ascii="宋体" w:hAnsi="宋体" w:cs="宋体"/>
      <w:szCs w:val="21"/>
    </w:rPr>
  </w:style>
  <w:style w:type="character" w:styleId="1205">
    <w:name w:val="List Paragraph Char"/>
    <w:next w:val="1205"/>
    <w:link w:val="1206"/>
    <w:rPr>
      <w:rFonts w:ascii="Calibri" w:hAnsi="Calibri"/>
      <w:sz w:val="21"/>
      <w:szCs w:val="22"/>
    </w:rPr>
  </w:style>
  <w:style w:type="paragraph" w:styleId="1206">
    <w:name w:val="List Paragraph2"/>
    <w:basedOn w:val="1140"/>
    <w:next w:val="1206"/>
    <w:link w:val="1205"/>
    <w:qFormat/>
    <w:pPr>
      <w:ind w:firstLine="420"/>
    </w:pPr>
    <w:rPr>
      <w:rFonts w:ascii="Calibri" w:hAnsi="Calibri"/>
      <w:szCs w:val="22"/>
    </w:rPr>
  </w:style>
  <w:style w:type="character" w:styleId="1207">
    <w:name w:val="font21"/>
    <w:next w:val="1207"/>
    <w:link w:val="1140"/>
    <w:uiPriority w:val="99"/>
    <w:rPr>
      <w:rFonts w:hint="eastAsia" w:ascii="宋体" w:hAnsi="宋体" w:eastAsia="宋体" w:cs="宋体"/>
      <w:i w:val="0"/>
      <w:color w:val="000000"/>
      <w:sz w:val="20"/>
      <w:szCs w:val="20"/>
      <w:u w:val="none"/>
    </w:rPr>
  </w:style>
  <w:style w:type="character" w:styleId="1208">
    <w:name w:val="style21"/>
    <w:next w:val="1208"/>
    <w:link w:val="1140"/>
    <w:rPr>
      <w:sz w:val="18"/>
      <w:szCs w:val="18"/>
    </w:rPr>
  </w:style>
  <w:style w:type="paragraph" w:styleId="1209">
    <w:name w:val="Normal1"/>
    <w:basedOn w:val="1140"/>
    <w:next w:val="1209"/>
    <w:link w:val="1140"/>
    <w:pPr>
      <w:jc w:val="left"/>
      <w:spacing w:after="200" w:line="300" w:lineRule="atLeast"/>
      <w:widowControl/>
    </w:pPr>
    <w:rPr>
      <w:rFonts w:ascii="Calibri" w:hAnsi="Calibri" w:cs="宋体"/>
      <w:sz w:val="22"/>
      <w:szCs w:val="22"/>
    </w:rPr>
  </w:style>
  <w:style w:type="paragraph" w:styleId="1210">
    <w:name w:val="需求书2"/>
    <w:basedOn w:val="1140"/>
    <w:next w:val="1210"/>
    <w:link w:val="1140"/>
    <w:rPr>
      <w:rFonts w:ascii="宋体" w:hAnsi="宋体"/>
      <w:b/>
      <w:spacing w:val="10"/>
      <w:sz w:val="24"/>
      <w:szCs w:val="24"/>
    </w:rPr>
  </w:style>
  <w:style w:type="paragraph" w:styleId="1211">
    <w:name w:val="List Paragraph1"/>
    <w:basedOn w:val="1140"/>
    <w:next w:val="1211"/>
    <w:link w:val="1140"/>
    <w:uiPriority w:val="99"/>
    <w:qFormat/>
    <w:pPr>
      <w:ind w:firstLine="420"/>
      <w:jc w:val="left"/>
      <w:spacing w:line="300" w:lineRule="auto"/>
    </w:pPr>
    <w:rPr>
      <w:szCs w:val="22"/>
    </w:rPr>
  </w:style>
  <w:style w:type="paragraph" w:styleId="1212">
    <w:name w:val="彩色列表 - 强调文字颜色 11"/>
    <w:basedOn w:val="1140"/>
    <w:next w:val="1212"/>
    <w:link w:val="1140"/>
    <w:pPr>
      <w:contextualSpacing/>
      <w:ind w:left="720"/>
      <w:jc w:val="left"/>
      <w:spacing w:before="100" w:after="100" w:line="276" w:lineRule="auto"/>
      <w:widowControl/>
    </w:pPr>
    <w:rPr>
      <w:rFonts w:ascii="Arial" w:hAnsi="Arial" w:cs="Arial"/>
      <w:color w:val="0f0f0f"/>
      <w:sz w:val="20"/>
      <w:lang w:eastAsia="en-US"/>
    </w:rPr>
  </w:style>
  <w:style w:type="paragraph" w:styleId="1213">
    <w:name w:val="样式 仿宋_GB2312 小四 行距: 1.5 倍行距1"/>
    <w:basedOn w:val="1140"/>
    <w:next w:val="1213"/>
    <w:link w:val="1140"/>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14">
    <w:name w:val="无间隔"/>
    <w:next w:val="1214"/>
    <w:link w:val="1140"/>
    <w:uiPriority w:val="1"/>
    <w:qFormat/>
    <w:pPr>
      <w:jc w:val="both"/>
      <w:widowControl w:val="off"/>
    </w:pPr>
    <w:rPr>
      <w:sz w:val="21"/>
      <w:szCs w:val="22"/>
      <w:lang w:val="en-US" w:eastAsia="zh-CN" w:bidi="ar-SA"/>
    </w:rPr>
  </w:style>
  <w:style w:type="paragraph" w:styleId="1215">
    <w:name w:val="Char Char Char Char Char Char Char"/>
    <w:basedOn w:val="1140"/>
    <w:next w:val="1215"/>
    <w:link w:val="1140"/>
    <w:pPr>
      <w:ind w:left="432" w:hanging="432"/>
      <w:jc w:val="center"/>
      <w:tabs>
        <w:tab w:val="left" w:pos="432" w:leader="none"/>
      </w:tabs>
    </w:pPr>
    <w:rPr>
      <w:rFonts w:ascii="仿宋_GB2312" w:hAnsi="Tahoma" w:eastAsia="仿宋_GB2312"/>
      <w:sz w:val="24"/>
      <w:szCs w:val="24"/>
    </w:rPr>
  </w:style>
  <w:style w:type="paragraph" w:styleId="1216">
    <w:name w:val="正文 A"/>
    <w:next w:val="1216"/>
    <w:link w:val="1140"/>
    <w:qFormat/>
    <w:pPr>
      <w:jc w:val="both"/>
      <w:widowControl w:val="off"/>
    </w:pPr>
    <w:rPr>
      <w:rFonts w:eastAsia="Times New Roman"/>
      <w:color w:val="000000"/>
      <w:sz w:val="21"/>
      <w:szCs w:val="21"/>
      <w:lang w:val="en-US" w:eastAsia="zh-CN" w:bidi="ar-SA"/>
    </w:rPr>
  </w:style>
  <w:style w:type="paragraph" w:styleId="1217">
    <w:name w:val="列出段落"/>
    <w:basedOn w:val="1140"/>
    <w:next w:val="1217"/>
    <w:link w:val="1140"/>
    <w:uiPriority w:val="99"/>
    <w:qFormat/>
    <w:pPr>
      <w:ind w:firstLine="420"/>
    </w:pPr>
    <w:rPr>
      <w:rFonts w:ascii="Calibri" w:hAnsi="Calibri" w:eastAsia="宋体" w:cs="Times New Roman"/>
      <w:szCs w:val="22"/>
    </w:rPr>
  </w:style>
  <w:style w:type="paragraph" w:styleId="1218">
    <w:name w:val=" Char Char Char Char Char Char Char"/>
    <w:basedOn w:val="1140"/>
    <w:next w:val="1218"/>
    <w:link w:val="1140"/>
    <w:semiHidden/>
    <w:rPr>
      <w:rFonts w:ascii="Tahoma" w:hAnsi="Tahoma" w:cs="仿宋_GB2312"/>
      <w:sz w:val="24"/>
      <w:szCs w:val="28"/>
    </w:rPr>
  </w:style>
  <w:style w:type="paragraph" w:styleId="1219">
    <w:name w:val="列出段落1"/>
    <w:basedOn w:val="1140"/>
    <w:next w:val="1219"/>
    <w:link w:val="1140"/>
    <w:uiPriority w:val="34"/>
    <w:qFormat/>
    <w:pPr>
      <w:ind w:firstLine="420"/>
    </w:pPr>
    <w:rPr>
      <w:rFonts w:ascii="Calibri" w:hAnsi="Calibri"/>
      <w:szCs w:val="22"/>
    </w:rPr>
  </w:style>
  <w:style w:type="paragraph" w:styleId="1220">
    <w:name w:val="一级"/>
    <w:basedOn w:val="1140"/>
    <w:next w:val="1220"/>
    <w:link w:val="1140"/>
    <w:qFormat/>
    <w:pPr>
      <w:numPr>
        <w:ilvl w:val="0"/>
        <w:numId w:val="1"/>
      </w:numPr>
      <w:spacing w:line="360" w:lineRule="auto"/>
      <w:outlineLvl w:val="0"/>
    </w:pPr>
    <w:rPr>
      <w:b/>
      <w:sz w:val="32"/>
      <w:szCs w:val="32"/>
    </w:rPr>
  </w:style>
  <w:style w:type="paragraph" w:styleId="1221">
    <w:name w:val="正文1"/>
    <w:basedOn w:val="1140"/>
    <w:next w:val="1221"/>
    <w:link w:val="1140"/>
    <w:qFormat/>
    <w:pPr>
      <w:jc w:val="left"/>
      <w:spacing w:after="200" w:line="300" w:lineRule="atLeast"/>
      <w:widowControl/>
    </w:pPr>
    <w:rPr>
      <w:rFonts w:ascii="Calibri" w:hAnsi="Calibri" w:cs="宋体"/>
      <w:sz w:val="22"/>
      <w:szCs w:val="22"/>
    </w:rPr>
  </w:style>
  <w:style w:type="paragraph" w:styleId="1222">
    <w:name w:val="Default"/>
    <w:next w:val="1222"/>
    <w:link w:val="1140"/>
    <w:uiPriority w:val="99"/>
    <w:unhideWhenUsed/>
    <w:pPr>
      <w:widowControl w:val="off"/>
    </w:pPr>
    <w:rPr>
      <w:rFonts w:hint="eastAsia" w:ascii="楷体" w:hAnsi="楷体" w:eastAsia="楷体"/>
      <w:color w:val="000000"/>
      <w:sz w:val="24"/>
      <w:lang w:val="en-US" w:eastAsia="zh-CN" w:bidi="ar-SA"/>
    </w:rPr>
  </w:style>
  <w:style w:type="paragraph" w:styleId="1223">
    <w:name w:val="Heading 8"/>
    <w:basedOn w:val="1140"/>
    <w:next w:val="1223"/>
    <w:link w:val="1140"/>
    <w:uiPriority w:val="1"/>
    <w:qFormat/>
    <w:pPr>
      <w:ind w:left="153"/>
      <w:jc w:val="left"/>
      <w:spacing w:before="35"/>
      <w:outlineLvl w:val="8"/>
    </w:pPr>
    <w:rPr>
      <w:rFonts w:ascii="宋体" w:hAnsi="宋体" w:cs="Times New Roman"/>
      <w:b/>
      <w:bCs/>
      <w:szCs w:val="21"/>
      <w:lang w:eastAsia="en-US"/>
    </w:rPr>
  </w:style>
  <w:style w:type="paragraph" w:styleId="1224">
    <w:name w:val="BodyText1I1"/>
    <w:basedOn w:val="1225"/>
    <w:next w:val="1224"/>
    <w:link w:val="1140"/>
    <w:qFormat/>
    <w:pPr>
      <w:ind w:left="120" w:firstLine="420"/>
      <w:jc w:val="both"/>
      <w:spacing w:before="36"/>
    </w:pPr>
  </w:style>
  <w:style w:type="paragraph" w:styleId="1225">
    <w:name w:val="BodyText1"/>
    <w:basedOn w:val="1140"/>
    <w:next w:val="1140"/>
    <w:link w:val="1140"/>
    <w:qFormat/>
    <w:pPr>
      <w:ind w:left="120"/>
      <w:jc w:val="both"/>
      <w:spacing w:before="36"/>
    </w:pPr>
    <w:rPr>
      <w:rFonts w:ascii="宋体" w:hAnsi="宋体" w:eastAsia="宋体"/>
      <w:sz w:val="24"/>
      <w:szCs w:val="24"/>
      <w:lang w:val="en-US" w:eastAsia="zh-CN" w:bidi="ar-SA"/>
    </w:rPr>
  </w:style>
  <w:style w:type="paragraph" w:styleId="1226">
    <w:name w:val=" Char Char Char"/>
    <w:basedOn w:val="1140"/>
    <w:next w:val="1226"/>
    <w:link w:val="1140"/>
    <w:pPr>
      <w:jc w:val="center"/>
      <w:spacing w:line="400" w:lineRule="exact"/>
      <w:widowControl/>
    </w:pPr>
    <w:rPr>
      <w:szCs w:val="24"/>
    </w:rPr>
  </w:style>
  <w:style w:type="paragraph" w:styleId="1227">
    <w:name w:val="Heading 4"/>
    <w:basedOn w:val="1140"/>
    <w:next w:val="1227"/>
    <w:link w:val="1140"/>
    <w:uiPriority w:val="1"/>
    <w:qFormat/>
    <w:pPr>
      <w:ind w:left="153"/>
      <w:jc w:val="left"/>
      <w:spacing w:before="18"/>
      <w:outlineLvl w:val="4"/>
    </w:pPr>
    <w:rPr>
      <w:rFonts w:ascii="宋体" w:hAnsi="宋体" w:cs="Times New Roman"/>
      <w:b/>
      <w:bCs/>
      <w:sz w:val="28"/>
      <w:szCs w:val="28"/>
      <w:lang w:eastAsia="en-US"/>
    </w:rPr>
  </w:style>
  <w:style w:type="paragraph" w:styleId="1228">
    <w:name w:val="Table Paragraph"/>
    <w:basedOn w:val="1140"/>
    <w:next w:val="1228"/>
    <w:link w:val="1140"/>
    <w:uiPriority w:val="1"/>
    <w:qFormat/>
    <w:pPr>
      <w:spacing w:before="2"/>
    </w:pPr>
    <w:rPr>
      <w:rFonts w:ascii="宋体" w:hAnsi="宋体" w:eastAsia="宋体" w:cs="宋体"/>
      <w:lang w:val="zh-CN" w:eastAsia="zh-CN" w:bidi="zh-CN"/>
    </w:rPr>
  </w:style>
  <w:style w:type="paragraph" w:styleId="1229">
    <w:name w:val="样式 首行缩进:  2 字符"/>
    <w:basedOn w:val="1140"/>
    <w:next w:val="1229"/>
    <w:link w:val="1140"/>
    <w:pPr>
      <w:ind w:firstLine="200"/>
      <w:spacing w:line="400" w:lineRule="exact"/>
    </w:pPr>
    <w:rPr>
      <w:rFonts w:cs="宋体"/>
      <w:sz w:val="24"/>
      <w:szCs w:val="24"/>
    </w:rPr>
  </w:style>
  <w:style w:type="paragraph" w:styleId="1230">
    <w:name w:val="Char Char"/>
    <w:basedOn w:val="1140"/>
    <w:next w:val="1230"/>
    <w:link w:val="1140"/>
    <w:pPr>
      <w:ind w:left="360" w:hanging="360"/>
    </w:pPr>
    <w:rPr>
      <w:sz w:val="24"/>
      <w:szCs w:val="24"/>
    </w:rPr>
  </w:style>
  <w:style w:type="paragraph" w:styleId="1231">
    <w:name w:val="简单回函地址"/>
    <w:basedOn w:val="1140"/>
    <w:next w:val="1231"/>
    <w:link w:val="1140"/>
    <w:rPr>
      <w:szCs w:val="24"/>
    </w:rPr>
  </w:style>
  <w:style w:type="paragraph" w:styleId="1232">
    <w:name w:val="Body Text First Indent1"/>
    <w:basedOn w:val="1156"/>
    <w:next w:val="1232"/>
    <w:link w:val="1140"/>
    <w:qFormat/>
    <w:pPr>
      <w:ind w:firstLine="420"/>
    </w:pPr>
  </w:style>
  <w:style w:type="paragraph" w:styleId="1233">
    <w:name w:val="yiv1658056056msonormal"/>
    <w:basedOn w:val="1140"/>
    <w:next w:val="1233"/>
    <w:link w:val="1140"/>
    <w:uiPriority w:val="99"/>
    <w:pPr>
      <w:jc w:val="left"/>
      <w:spacing w:before="100" w:beforeAutospacing="1" w:after="100" w:afterAutospacing="1"/>
      <w:widowControl/>
    </w:pPr>
    <w:rPr>
      <w:rFonts w:ascii="宋体" w:hAnsi="宋体" w:cs="宋体"/>
      <w:sz w:val="24"/>
      <w:szCs w:val="24"/>
    </w:rPr>
  </w:style>
  <w:style w:type="paragraph" w:styleId="1234">
    <w:name w:val="p15"/>
    <w:basedOn w:val="1140"/>
    <w:next w:val="1234"/>
    <w:link w:val="1140"/>
    <w:uiPriority w:val="99"/>
    <w:unhideWhenUsed/>
    <w:pPr>
      <w:widowControl/>
    </w:pPr>
    <w:rPr>
      <w:rFonts w:hint="eastAsia" w:ascii="宋体" w:hAnsi="宋体"/>
      <w:b/>
    </w:rPr>
  </w:style>
  <w:style w:type="paragraph" w:styleId="1235">
    <w:name w:val="_Style 2"/>
    <w:basedOn w:val="1140"/>
    <w:next w:val="1235"/>
    <w:link w:val="1140"/>
    <w:uiPriority w:val="34"/>
    <w:qFormat/>
    <w:pPr>
      <w:ind w:firstLine="420"/>
    </w:pPr>
    <w:rPr>
      <w:szCs w:val="24"/>
    </w:rPr>
  </w:style>
  <w:style w:type="paragraph" w:styleId="1236">
    <w:name w:val="List Paragraph"/>
    <w:basedOn w:val="1140"/>
    <w:next w:val="1236"/>
    <w:link w:val="1140"/>
    <w:uiPriority w:val="34"/>
    <w:qFormat/>
    <w:pPr>
      <w:ind w:firstLine="420"/>
    </w:pPr>
    <w:rPr>
      <w:szCs w:val="22"/>
    </w:rPr>
  </w:style>
  <w:style w:type="character" w:styleId="1237">
    <w:name w:val="font11"/>
    <w:next w:val="1237"/>
    <w:link w:val="1140"/>
    <w:unhideWhenUsed/>
    <w:qFormat/>
    <w:rPr>
      <w:rFonts w:hint="eastAsia" w:ascii="宋体" w:hAnsi="宋体" w:eastAsia="宋体" w:cs="宋体"/>
      <w:color w:val="000000"/>
      <w:sz w:val="21"/>
      <w:szCs w:val="21"/>
    </w:rPr>
  </w:style>
  <w:style w:type="character" w:styleId="1238" w:default="1">
    <w:name w:val="Default Paragraph Font"/>
    <w:uiPriority w:val="1"/>
    <w:semiHidden/>
    <w:unhideWhenUsed/>
  </w:style>
  <w:style w:type="numbering" w:styleId="1239" w:default="1">
    <w:name w:val="No List"/>
    <w:uiPriority w:val="99"/>
    <w:semiHidden/>
    <w:unhideWhenUsed/>
  </w:style>
  <w:style w:type="table" w:styleId="1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5</cp:revision>
  <dcterms:created xsi:type="dcterms:W3CDTF">2026-04-28T07:06:00Z</dcterms:created>
  <dcterms:modified xsi:type="dcterms:W3CDTF">2026-06-10T03:14:12Z</dcterms:modified>
</cp:coreProperties>
</file>